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3864"/>
          <w:sz w:val="34"/>
          <w:szCs w:val="34"/>
        </w:rPr>
        <w:t xml:space="preserve">LABOUR LAW — CLASS TEST</w:t>
      </w:r>
    </w:p>
    <w:p>
      <w:pPr>
        <w:spacing w:after="300"/>
      </w:pPr>
      <w:r>
        <w:rPr>
          <w:i/>
          <w:iCs/>
          <w:color w:val="595959"/>
          <w:sz w:val="22"/>
          <w:szCs w:val="22"/>
        </w:rPr>
        <w:t xml:space="preserve">Answer Framework: Code on Social Security, 2020 &amp; Occupational Safety, Health and Working Conditions Code, 2020</w:t>
      </w:r>
    </w:p>
    <w:p>
      <w:pPr>
        <w:pStyle w:val="Heading1"/>
        <w:pBdr>
          <w:bottom w:val="single" w:color="1F3864" w:sz="8" w:space="4"/>
        </w:pBdr>
        <w:spacing w:after="160" w:before="360"/>
      </w:pPr>
      <w:r>
        <w:rPr>
          <w:b/>
          <w:bCs/>
          <w:color w:val="1F3864"/>
          <w:sz w:val="28"/>
          <w:szCs w:val="28"/>
        </w:rPr>
        <w:t xml:space="preserve">Q(a). Object and Salient Features of the Code on Social Security, 2020</w:t>
      </w:r>
    </w:p>
    <w:p>
      <w:pPr>
        <w:pStyle w:val="Heading2"/>
        <w:spacing w:after="100" w:before="240"/>
      </w:pPr>
      <w:r>
        <w:rPr>
          <w:b/>
          <w:bCs/>
          <w:color w:val="8A6D3B"/>
          <w:sz w:val="24"/>
          <w:szCs w:val="24"/>
        </w:rPr>
        <w:t xml:space="preserve">Introduction</w:t>
      </w:r>
    </w:p>
    <w:p>
      <w:pPr>
        <w:spacing w:after="120" w:line="300"/>
      </w:pPr>
      <w:r>
        <w:rPr>
          <w:sz w:val="22"/>
          <w:szCs w:val="22"/>
        </w:rPr>
        <w:t xml:space="preserve">Prior to 2020, India's social security architecture was fragmented across nine separate central statutes, each with its own definitions, coverage thresholds, authorities and compliance machinery. This created overlapping jurisdiction, left large sections of the workforce — particularly unorganised, contractual, seasonal and, more recently, gig and platform workers — outside any statutory safety net, and made compliance cumbersome for employers operating across sectors. Acting on the recommendations of the Second National Commission on Labour (2002), which had suggested consolidating the numerous labour enactments into a small number of broad Codes, Parliament enacted the Code on Social Security, 2020 as one of the four Labour Codes (Wages, Industrial Relations, Occupational Safety, and Social Security).</w:t>
      </w:r>
    </w:p>
    <w:p>
      <w:pPr>
        <w:pStyle w:val="Heading2"/>
        <w:spacing w:after="100" w:before="240"/>
      </w:pPr>
      <w:r>
        <w:rPr>
          <w:b/>
          <w:bCs/>
          <w:color w:val="8A6D3B"/>
          <w:sz w:val="24"/>
          <w:szCs w:val="24"/>
        </w:rPr>
        <w:t xml:space="preserve">Object</w:t>
      </w:r>
    </w:p>
    <w:p>
      <w:pPr>
        <w:spacing w:after="120" w:line="300"/>
      </w:pPr>
      <w:r>
        <w:rPr>
          <w:sz w:val="22"/>
          <w:szCs w:val="22"/>
        </w:rPr>
        <w:t xml:space="preserve">The Preamble states it is "An Act to amend and consolidate the laws relating to social security with the goal to extend social security to all employees and workers either in the organised or unorganised or any other sectors." The core object is therefore twofold: (i) consolidation — bringing nine overlapping enactments under one statutory umbrella for ease of compliance and uniform interpretation; and (ii) universalisation — extending social security coverage beyond the traditional factory/establishment worker to unorganised, gig and platform workers, who together constitute the overwhelming majority of India's workforce. The Code also gives statutory expression to the Directive Principles under Articles 41, 42 and 43 of the Constitution, which direct the State to secure the right to work, public assistance in cases of unemployment, old age and sickness, and humane conditions of work and maternity relief.</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F3864" w:sz="4"/>
              <w:left w:val="single" w:color="1F3864" w:sz="18"/>
              <w:bottom w:val="single" w:color="1F3864" w:sz="4"/>
              <w:right w:val="single" w:color="1F3864" w:sz="4"/>
            </w:tcBorders>
            <w:shd w:fill="EEF2F9" w:color="auto" w:val="clear"/>
            <w:tcMar>
              <w:top w:type="dxa" w:w="120"/>
              <w:left w:type="dxa" w:w="180"/>
              <w:bottom w:type="dxa" w:w="120"/>
              <w:right w:type="dxa" w:w="180"/>
            </w:tcMar>
          </w:tcPr>
          <w:p>
            <w:pPr>
              <w:spacing w:after="60"/>
            </w:pPr>
            <w:r>
              <w:rPr>
                <w:b/>
                <w:bCs/>
                <w:color w:val="1F3864"/>
                <w:sz w:val="20"/>
                <w:szCs w:val="20"/>
              </w:rPr>
              <w:t xml:space="preserve">⚖  CASE LAW</w:t>
            </w:r>
          </w:p>
          <w:p>
            <w:pPr>
              <w:spacing w:after="60" w:line="280"/>
            </w:pPr>
            <w:r>
              <w:rPr>
                <w:b/>
                <w:bCs/>
                <w:sz w:val="21"/>
                <w:szCs w:val="21"/>
              </w:rPr>
              <w:t xml:space="preserve">Royal Talkies, Hyderabad v. Employees' State Insurance Corporation</w:t>
            </w:r>
            <w:r>
              <w:rPr>
                <w:sz w:val="21"/>
                <w:szCs w:val="21"/>
              </w:rPr>
              <w:t xml:space="preserve">, AIR 1978 SC 1478</w:t>
            </w:r>
          </w:p>
          <w:p>
            <w:pPr>
              <w:spacing w:after="0" w:line="280"/>
            </w:pPr>
            <w:r>
              <w:rPr>
                <w:sz w:val="21"/>
                <w:szCs w:val="21"/>
              </w:rPr>
              <w:t xml:space="preserve">The Supreme Court gave a wide and beneficial interpretation to the definition of "employment" under the ESI Act, holding that persons working in a cinema canteen run by an independent contractor were still covered because their work had a direct nexus with the purpose of the establishment. This liberal, purpose-oriented approach to social welfare legislation continues to guide interpretation of analogous provisions retained in Chapter IV of the Code on Social Security, 2020, and is a useful principle to cite whenever coverage/eligibility questions arise under the Code.</w:t>
            </w:r>
          </w:p>
        </w:tc>
      </w:tr>
    </w:tbl>
    <w:p>
      <w:pPr>
        <w:spacing w:after="160"/>
      </w:pPr>
    </w:p>
    <w:p>
      <w:pPr>
        <w:pStyle w:val="Heading2"/>
        <w:spacing w:after="100" w:before="240"/>
      </w:pPr>
      <w:r>
        <w:rPr>
          <w:b/>
          <w:bCs/>
          <w:color w:val="8A6D3B"/>
          <w:sz w:val="24"/>
          <w:szCs w:val="24"/>
        </w:rPr>
        <w:t xml:space="preserve">Salient Features</w:t>
      </w:r>
    </w:p>
    <w:p>
      <w:pPr>
        <w:pStyle w:val="ListParagraph"/>
        <w:numPr>
          <w:ilvl w:val="0"/>
          <w:numId w:val="2"/>
        </w:numPr>
        <w:spacing w:after="80" w:line="276"/>
      </w:pPr>
      <w:r>
        <w:rPr>
          <w:b/>
          <w:bCs/>
          <w:sz w:val="22"/>
          <w:szCs w:val="22"/>
        </w:rPr>
        <w:t xml:space="preserve">Consolidation of 9 central laws</w:t>
      </w:r>
      <w:r>
        <w:rPr>
          <w:sz w:val="22"/>
          <w:szCs w:val="22"/>
        </w:rPr>
        <w:t xml:space="preserve"> into one Code — repeals and merges the Employee's Compensation Act 1923, Employees' State Insurance Act 1948, EPF &amp; MP Act 1952, Employment Exchanges Act 1959, Maternity Benefit Act 1961, Payment of Gratuity Act 1972, Cine-Workers Welfare Fund Act 1981, BOCW Welfare Cess Act 1996, and Unorganised Workers' SS Act 2008 (Sec. 164).</w:t>
      </w:r>
    </w:p>
    <w:p>
      <w:pPr>
        <w:pStyle w:val="ListParagraph"/>
        <w:numPr>
          <w:ilvl w:val="0"/>
          <w:numId w:val="2"/>
        </w:numPr>
        <w:spacing w:after="80" w:line="276"/>
      </w:pPr>
      <w:r>
        <w:rPr>
          <w:b/>
          <w:bCs/>
          <w:sz w:val="22"/>
          <w:szCs w:val="22"/>
        </w:rPr>
        <w:t xml:space="preserve">First-ever statutory coverage for gig and platform workers</w:t>
      </w:r>
      <w:r>
        <w:rPr>
          <w:sz w:val="22"/>
          <w:szCs w:val="22"/>
        </w:rPr>
        <w:t xml:space="preserve"> — Chapter IX creates schemes specifically for unorganised, gig and platform workers (Secs. 109–114), funded partly by a cess on aggregators.</w:t>
      </w:r>
    </w:p>
    <w:p>
      <w:pPr>
        <w:pStyle w:val="ListParagraph"/>
        <w:numPr>
          <w:ilvl w:val="0"/>
          <w:numId w:val="2"/>
        </w:numPr>
        <w:spacing w:after="80" w:line="276"/>
      </w:pPr>
      <w:r>
        <w:rPr>
          <w:b/>
          <w:bCs/>
          <w:sz w:val="22"/>
          <w:szCs w:val="22"/>
        </w:rPr>
        <w:t xml:space="preserve">National Social Security Board &amp; State Unorganised Workers' Boards</w:t>
      </w:r>
      <w:r>
        <w:rPr>
          <w:sz w:val="22"/>
          <w:szCs w:val="22"/>
        </w:rPr>
        <w:t xml:space="preserve"> (Sec. 6) to recommend and monitor welfare schemes.</w:t>
      </w:r>
    </w:p>
    <w:p>
      <w:pPr>
        <w:pStyle w:val="ListParagraph"/>
        <w:numPr>
          <w:ilvl w:val="0"/>
          <w:numId w:val="2"/>
        </w:numPr>
        <w:spacing w:after="80" w:line="276"/>
      </w:pPr>
      <w:r>
        <w:rPr>
          <w:sz w:val="22"/>
          <w:szCs w:val="22"/>
        </w:rPr>
        <w:t xml:space="preserve">Employees' Compensation (Ch. VII), ESI (Ch. IV), PF (Ch. III), Gratuity (Ch. V), and Maternity Benefit (Ch. VI) retained as distinct chapters within one umbrella Code.</w:t>
      </w:r>
    </w:p>
    <w:p>
      <w:pPr>
        <w:pStyle w:val="ListParagraph"/>
        <w:numPr>
          <w:ilvl w:val="0"/>
          <w:numId w:val="2"/>
        </w:numPr>
        <w:spacing w:after="80" w:line="276"/>
      </w:pPr>
      <w:r>
        <w:rPr>
          <w:b/>
          <w:bCs/>
          <w:sz w:val="22"/>
          <w:szCs w:val="22"/>
        </w:rPr>
        <w:t xml:space="preserve">Social Security Fund</w:t>
      </w:r>
      <w:r>
        <w:rPr>
          <w:sz w:val="22"/>
          <w:szCs w:val="22"/>
        </w:rPr>
        <w:t xml:space="preserve"> for unorganised/gig/platform workers.</w:t>
      </w:r>
    </w:p>
    <w:p>
      <w:pPr>
        <w:pStyle w:val="ListParagraph"/>
        <w:numPr>
          <w:ilvl w:val="0"/>
          <w:numId w:val="2"/>
        </w:numPr>
        <w:spacing w:after="80" w:line="276"/>
      </w:pPr>
      <w:r>
        <w:rPr>
          <w:sz w:val="22"/>
          <w:szCs w:val="22"/>
        </w:rPr>
        <w:t xml:space="preserve">Provision for </w:t>
      </w:r>
      <w:r>
        <w:rPr>
          <w:b/>
          <w:bCs/>
          <w:sz w:val="22"/>
          <w:szCs w:val="22"/>
        </w:rPr>
        <w:t xml:space="preserve">Aadhaar-based registration</w:t>
      </w:r>
      <w:r>
        <w:rPr>
          <w:sz w:val="22"/>
          <w:szCs w:val="22"/>
        </w:rPr>
        <w:t xml:space="preserve"> of workers for portability of benefits.</w:t>
      </w:r>
    </w:p>
    <w:p>
      <w:pPr>
        <w:pStyle w:val="ListParagraph"/>
        <w:numPr>
          <w:ilvl w:val="0"/>
          <w:numId w:val="2"/>
        </w:numPr>
        <w:spacing w:after="80" w:line="276"/>
      </w:pPr>
      <w:r>
        <w:rPr>
          <w:b/>
          <w:bCs/>
          <w:sz w:val="22"/>
          <w:szCs w:val="22"/>
        </w:rPr>
        <w:t xml:space="preserve">Flexibility of applicability</w:t>
      </w:r>
      <w:r>
        <w:rPr>
          <w:sz w:val="22"/>
          <w:szCs w:val="22"/>
        </w:rPr>
        <w:t xml:space="preserve"> — thresholds and coverage can be extended by government notification rather than fresh legislation, allowing gradual expansion.</w:t>
      </w:r>
    </w:p>
    <w:p>
      <w:pPr>
        <w:pStyle w:val="ListParagraph"/>
        <w:numPr>
          <w:ilvl w:val="0"/>
          <w:numId w:val="2"/>
        </w:numPr>
        <w:spacing w:after="80" w:line="276"/>
      </w:pPr>
      <w:r>
        <w:rPr>
          <w:sz w:val="22"/>
          <w:szCs w:val="22"/>
        </w:rPr>
        <w:t xml:space="preserve">Recognises new categories of workers — home-based, self-employed, wage, gig and platform workers — reflecting the changing nature of work (Sec. 2).</w:t>
      </w:r>
    </w:p>
    <w:p>
      <w:pPr>
        <w:pStyle w:val="ListParagraph"/>
        <w:numPr>
          <w:ilvl w:val="0"/>
          <w:numId w:val="2"/>
        </w:numPr>
        <w:spacing w:after="80" w:line="276"/>
      </w:pPr>
      <w:r>
        <w:rPr>
          <w:b/>
          <w:bCs/>
          <w:sz w:val="22"/>
          <w:szCs w:val="22"/>
        </w:rPr>
        <w:t xml:space="preserve">Digitisation of registration and benefit delivery</w:t>
      </w:r>
      <w:r>
        <w:rPr>
          <w:sz w:val="22"/>
          <w:szCs w:val="22"/>
        </w:rPr>
        <w:t xml:space="preserve"> — envisages a portal-based, Aadhaar-linked registration for unorganised, gig and platform workers, enabling portability of benefits when a worker migrates or changes employers/platforms.</w:t>
      </w:r>
    </w:p>
    <w:p>
      <w:pPr>
        <w:pStyle w:val="ListParagraph"/>
        <w:numPr>
          <w:ilvl w:val="0"/>
          <w:numId w:val="2"/>
        </w:numPr>
        <w:spacing w:after="80" w:line="276"/>
      </w:pPr>
      <w:r>
        <w:rPr>
          <w:b/>
          <w:bCs/>
          <w:sz w:val="22"/>
          <w:szCs w:val="22"/>
        </w:rPr>
        <w:t xml:space="preserve">Uniform definitions</w:t>
      </w:r>
      <w:r>
        <w:rPr>
          <w:sz w:val="22"/>
          <w:szCs w:val="22"/>
        </w:rPr>
        <w:t xml:space="preserve"> of key expressions ("employee", "wages", "establishment", "contribution") across all chapters, removing the inconsistencies that existed between the erstwhile PF, ESI, Gratuity and Maternity Benefit Acts.</w:t>
      </w:r>
    </w:p>
    <w:p>
      <w:pPr>
        <w:pStyle w:val="ListParagraph"/>
        <w:numPr>
          <w:ilvl w:val="0"/>
          <w:numId w:val="2"/>
        </w:numPr>
        <w:spacing w:after="80" w:line="276"/>
      </w:pPr>
      <w:r>
        <w:rPr>
          <w:b/>
          <w:bCs/>
          <w:sz w:val="22"/>
          <w:szCs w:val="22"/>
        </w:rPr>
        <w:t xml:space="preserve">Enhanced maternity and gratuity protection</w:t>
      </w:r>
      <w:r>
        <w:rPr>
          <w:sz w:val="22"/>
          <w:szCs w:val="22"/>
        </w:rPr>
        <w:t xml:space="preserve">, including gratuity for fixed-term employees on a pro-rata basis without the earlier 5-year continuous-service requirement.</w:t>
      </w:r>
    </w:p>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A6D3B" w:sz="4"/>
              <w:left w:val="single" w:color="8A6D3B" w:sz="18"/>
              <w:bottom w:val="single" w:color="8A6D3B" w:sz="4"/>
              <w:right w:val="single" w:color="8A6D3B" w:sz="4"/>
            </w:tcBorders>
            <w:shd w:fill="FBF3E6" w:color="auto" w:val="clear"/>
            <w:tcMar>
              <w:top w:type="dxa" w:w="120"/>
              <w:left w:type="dxa" w:w="180"/>
              <w:bottom w:type="dxa" w:w="120"/>
              <w:right w:type="dxa" w:w="180"/>
            </w:tcMar>
          </w:tcPr>
          <w:p>
            <w:pPr>
              <w:spacing w:after="60"/>
            </w:pPr>
            <w:r>
              <w:rPr>
                <w:b/>
                <w:bCs/>
                <w:color w:val="8A6D3B"/>
                <w:sz w:val="20"/>
                <w:szCs w:val="20"/>
              </w:rPr>
              <w:t xml:space="preserve">💡 ILLUSTRATION</w:t>
            </w:r>
          </w:p>
          <w:p>
            <w:pPr>
              <w:spacing w:after="0" w:line="280"/>
            </w:pPr>
            <w:r>
              <w:rPr>
                <w:sz w:val="21"/>
                <w:szCs w:val="21"/>
              </w:rPr>
              <w:t xml:space="preserve">A cab-aggregator driver who logs into an app to accept rides has, until now, fallen outside every traditional labour statute because there is no conventional employer-employee relationship with the aggregator. Under the old regime he had no access to any welfare scheme. Under Sections 2(35), 2(61) and 109–114 of the Code on Social Security, 2020, he is recognised as a "platform worker", and the aggregator (as "aggregator" under the Code) can be required to contribute 1–2% of its annual turnover towards a Social Security Fund from which he can draw life and disability cover, health benefits and old-age protection — illustrating the object of "universalisation" in concrete terms.</w:t>
            </w:r>
          </w:p>
        </w:tc>
      </w:tr>
    </w:tbl>
    <w:p>
      <w:pPr>
        <w:spacing w:after="160"/>
      </w:pPr>
    </w:p>
    <w:p>
      <w:pPr>
        <w:pStyle w:val="Heading1"/>
        <w:pBdr>
          <w:bottom w:val="single" w:color="1F3864" w:sz="8" w:space="4"/>
        </w:pBdr>
        <w:spacing w:after="160" w:before="360"/>
      </w:pPr>
      <w:r>
        <w:rPr>
          <w:b/>
          <w:bCs/>
          <w:color w:val="1F3864"/>
          <w:sz w:val="28"/>
          <w:szCs w:val="28"/>
        </w:rPr>
        <w:t xml:space="preserve">Q(b). Employer's Liability for Compensation — Conditions and Exceptions (Section 74)</w:t>
      </w:r>
    </w:p>
    <w:p>
      <w:pPr>
        <w:pStyle w:val="Heading2"/>
        <w:spacing w:after="100" w:before="240"/>
      </w:pPr>
      <w:r>
        <w:rPr>
          <w:b/>
          <w:bCs/>
          <w:color w:val="8A6D3B"/>
          <w:sz w:val="24"/>
          <w:szCs w:val="24"/>
        </w:rPr>
        <w:t xml:space="preserve">Introduction</w:t>
      </w:r>
    </w:p>
    <w:p>
      <w:pPr>
        <w:spacing w:after="120" w:line="300"/>
      </w:pPr>
      <w:r>
        <w:rPr>
          <w:sz w:val="22"/>
          <w:szCs w:val="22"/>
        </w:rPr>
        <w:t xml:space="preserve">Chapter VII of the Code on Social Security, 2020 re-enacts, almost verbatim, the scheme of the Employee's Compensation Act, 1923 — one of India's oldest social security statutes, embodying the principle that an employer, having derived the benefit of an employee's labour, must bear the cost of injuries suffered by that employee in the course of earning that livelihood, irrespective of any fault or negligence on the employer's part. This is thus a species of "no-fault liability", distinguishable from the fault-based liability under the law of torts.</w:t>
      </w:r>
    </w:p>
    <w:p>
      <w:pPr>
        <w:pStyle w:val="Heading2"/>
        <w:spacing w:after="100" w:before="240"/>
      </w:pPr>
      <w:r>
        <w:rPr>
          <w:b/>
          <w:bCs/>
          <w:color w:val="8A6D3B"/>
          <w:sz w:val="24"/>
          <w:szCs w:val="24"/>
        </w:rPr>
        <w:t xml:space="preserve">Condition of Liability — Sec. 74(1)</w:t>
      </w:r>
    </w:p>
    <w:p>
      <w:pPr>
        <w:spacing w:after="120" w:line="300"/>
      </w:pPr>
      <w:r>
        <w:rPr>
          <w:sz w:val="22"/>
          <w:szCs w:val="22"/>
        </w:rPr>
        <w:t xml:space="preserve">If personal injury is caused to an employee by accident or an occupational disease listed in the Third Schedule arising out of and in the course of his employment, his employer shall be liable to pay compensation. Three ingredients must be satisfied: (i) personal injury, (ii) by accident or a Schedule-III disease, (iii) arising out of and in the course of employment. Each phrase has been the subject of extensive judicial interpretation.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F3864" w:sz="4"/>
              <w:left w:val="single" w:color="1F3864" w:sz="18"/>
              <w:bottom w:val="single" w:color="1F3864" w:sz="4"/>
              <w:right w:val="single" w:color="1F3864" w:sz="4"/>
            </w:tcBorders>
            <w:shd w:fill="EEF2F9" w:color="auto" w:val="clear"/>
            <w:tcMar>
              <w:top w:type="dxa" w:w="120"/>
              <w:left w:type="dxa" w:w="180"/>
              <w:bottom w:type="dxa" w:w="120"/>
              <w:right w:type="dxa" w:w="180"/>
            </w:tcMar>
          </w:tcPr>
          <w:p>
            <w:pPr>
              <w:spacing w:after="60"/>
            </w:pPr>
            <w:r>
              <w:rPr>
                <w:b/>
                <w:bCs/>
                <w:color w:val="1F3864"/>
                <w:sz w:val="20"/>
                <w:szCs w:val="20"/>
              </w:rPr>
              <w:t xml:space="preserve">⚖  CASE LAW</w:t>
            </w:r>
          </w:p>
          <w:p>
            <w:pPr>
              <w:spacing w:after="60" w:line="280"/>
            </w:pPr>
            <w:r>
              <w:rPr>
                <w:b/>
                <w:bCs/>
                <w:sz w:val="21"/>
                <w:szCs w:val="21"/>
              </w:rPr>
              <w:t xml:space="preserve">Mackinnon Mackenzie &amp; Co. Ltd. v. Ibrahim Mahmmed Issak</w:t>
            </w:r>
            <w:r>
              <w:rPr>
                <w:sz w:val="21"/>
                <w:szCs w:val="21"/>
              </w:rPr>
              <w:t xml:space="preserve">, AIR 1970 SC 1906</w:t>
            </w:r>
          </w:p>
          <w:p>
            <w:pPr>
              <w:spacing w:after="0" w:line="280"/>
            </w:pPr>
            <w:r>
              <w:rPr>
                <w:sz w:val="21"/>
                <w:szCs w:val="21"/>
              </w:rPr>
              <w:t xml:space="preserve">The Supreme Court held that the words "arising out of employment" mean that the injury must have a causal connection with the employment, and "in the course of employment" refers to the time during which the employment continues. Both conditions must ordinarily be satisfied for compensation to be payable — a principle that continues to govern claims under Section 74 of the Code.</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F3864" w:sz="4"/>
              <w:left w:val="single" w:color="1F3864" w:sz="18"/>
              <w:bottom w:val="single" w:color="1F3864" w:sz="4"/>
              <w:right w:val="single" w:color="1F3864" w:sz="4"/>
            </w:tcBorders>
            <w:shd w:fill="EEF2F9" w:color="auto" w:val="clear"/>
            <w:tcMar>
              <w:top w:type="dxa" w:w="120"/>
              <w:left w:type="dxa" w:w="180"/>
              <w:bottom w:type="dxa" w:w="120"/>
              <w:right w:type="dxa" w:w="180"/>
            </w:tcMar>
          </w:tcPr>
          <w:p>
            <w:pPr>
              <w:spacing w:after="60"/>
            </w:pPr>
            <w:r>
              <w:rPr>
                <w:b/>
                <w:bCs/>
                <w:color w:val="1F3864"/>
                <w:sz w:val="20"/>
                <w:szCs w:val="20"/>
              </w:rPr>
              <w:t xml:space="preserve">⚖  CASE LAW</w:t>
            </w:r>
          </w:p>
          <w:p>
            <w:pPr>
              <w:spacing w:after="60" w:line="280"/>
            </w:pPr>
            <w:r>
              <w:rPr>
                <w:b/>
                <w:bCs/>
                <w:sz w:val="21"/>
                <w:szCs w:val="21"/>
              </w:rPr>
              <w:t xml:space="preserve">Saurashtra Salt Manufacturing Co. Ltd. v. Bai Valu Raja</w:t>
            </w:r>
            <w:r>
              <w:rPr>
                <w:sz w:val="21"/>
                <w:szCs w:val="21"/>
              </w:rPr>
              <w:t xml:space="preserve">, AIR 1958 SC 881</w:t>
            </w:r>
          </w:p>
          <w:p>
            <w:pPr>
              <w:spacing w:after="0" w:line="280"/>
            </w:pPr>
            <w:r>
              <w:rPr>
                <w:sz w:val="21"/>
                <w:szCs w:val="21"/>
              </w:rPr>
              <w:t xml:space="preserve">The Court propounded the "doctrine of notional extension" of employment — an employee's employment does not necessarily end the moment he leaves his actual workplace; it may notionally extend to a reasonable time before and after work, and to the immediate vicinity of the workplace used as a means of access, if a nexus with the employment is shown. This doctrine is now expressly codified in Section 74(4) of the Code, which covers accidents while commuting.</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A6D3B" w:sz="4"/>
              <w:left w:val="single" w:color="8A6D3B" w:sz="18"/>
              <w:bottom w:val="single" w:color="8A6D3B" w:sz="4"/>
              <w:right w:val="single" w:color="8A6D3B" w:sz="4"/>
            </w:tcBorders>
            <w:shd w:fill="FBF3E6" w:color="auto" w:val="clear"/>
            <w:tcMar>
              <w:top w:type="dxa" w:w="120"/>
              <w:left w:type="dxa" w:w="180"/>
              <w:bottom w:type="dxa" w:w="120"/>
              <w:right w:type="dxa" w:w="180"/>
            </w:tcMar>
          </w:tcPr>
          <w:p>
            <w:pPr>
              <w:spacing w:after="60"/>
            </w:pPr>
            <w:r>
              <w:rPr>
                <w:b/>
                <w:bCs/>
                <w:color w:val="8A6D3B"/>
                <w:sz w:val="20"/>
                <w:szCs w:val="20"/>
              </w:rPr>
              <w:t xml:space="preserve">💡 ILLUSTRATION</w:t>
            </w:r>
          </w:p>
          <w:p>
            <w:pPr>
              <w:spacing w:after="0" w:line="280"/>
            </w:pPr>
            <w:r>
              <w:rPr>
                <w:sz w:val="21"/>
                <w:szCs w:val="21"/>
              </w:rPr>
              <w:t xml:space="preserve">A construction worker leaves the site after his shift and, while walking on the only access path leading from the site to the public road (which is unsafe and maintained by the employer), is injured by falling scaffolding. Applying the notional extension doctrine from Saurashtra Salt Mfg. Co. and Section 74(4), the accident would still be treated as arising "out of and in the course of employment" because the access path is functionally part of the workplace and a clear nexus exists between the time, place and employment.</w:t>
            </w:r>
          </w:p>
        </w:tc>
      </w:tr>
    </w:tbl>
    <w:p>
      <w:pPr>
        <w:spacing w:after="160"/>
      </w:pPr>
    </w:p>
    <w:p>
      <w:pPr>
        <w:pStyle w:val="Heading2"/>
        <w:spacing w:after="100" w:before="240"/>
      </w:pPr>
      <w:r>
        <w:rPr>
          <w:b/>
          <w:bCs/>
          <w:color w:val="8A6D3B"/>
          <w:sz w:val="24"/>
          <w:szCs w:val="24"/>
        </w:rPr>
        <w:t xml:space="preserve">Statutory Exceptions — Employer NOT Liable (Proviso to Sec. 74(1))</w:t>
      </w:r>
    </w:p>
    <w:p>
      <w:pPr>
        <w:pStyle w:val="ListParagraph"/>
        <w:numPr>
          <w:ilvl w:val="0"/>
          <w:numId w:val="3"/>
        </w:numPr>
        <w:spacing w:after="80" w:line="276"/>
      </w:pPr>
      <w:r>
        <w:rPr>
          <w:sz w:val="22"/>
          <w:szCs w:val="22"/>
        </w:rPr>
        <w:t xml:space="preserve">Injury not resulting in disablement (total/partial) for </w:t>
      </w:r>
      <w:r>
        <w:rPr>
          <w:b/>
          <w:bCs/>
          <w:sz w:val="22"/>
          <w:szCs w:val="22"/>
        </w:rPr>
        <w:t xml:space="preserve">more than 3 days</w:t>
      </w:r>
      <w:r>
        <w:rPr>
          <w:sz w:val="22"/>
          <w:szCs w:val="22"/>
        </w:rPr>
        <w:t xml:space="preserve">.</w:t>
      </w:r>
    </w:p>
    <w:p>
      <w:pPr>
        <w:pStyle w:val="ListParagraph"/>
        <w:numPr>
          <w:ilvl w:val="0"/>
          <w:numId w:val="3"/>
        </w:numPr>
        <w:spacing w:after="80" w:line="276"/>
      </w:pPr>
      <w:r>
        <w:rPr>
          <w:sz w:val="22"/>
          <w:szCs w:val="22"/>
        </w:rPr>
        <w:t xml:space="preserve">Injury not resulting in death or permanent total disablement, where the accident is directly attributable to:</w:t>
      </w:r>
    </w:p>
    <w:p>
      <w:pPr>
        <w:pStyle w:val="ListParagraph"/>
        <w:numPr>
          <w:ilvl w:val="1"/>
          <w:numId w:val="4"/>
        </w:numPr>
        <w:spacing w:after="80" w:line="276"/>
      </w:pPr>
      <w:r>
        <w:rPr>
          <w:sz w:val="22"/>
          <w:szCs w:val="22"/>
        </w:rPr>
        <w:t xml:space="preserve">the employee being </w:t>
      </w:r>
      <w:r>
        <w:rPr>
          <w:b/>
          <w:bCs/>
          <w:sz w:val="22"/>
          <w:szCs w:val="22"/>
        </w:rPr>
        <w:t xml:space="preserve">under the influence of drink or drugs</w:t>
      </w:r>
      <w:r>
        <w:rPr>
          <w:sz w:val="22"/>
          <w:szCs w:val="22"/>
        </w:rPr>
        <w:t xml:space="preserve"> at the time; or</w:t>
      </w:r>
    </w:p>
    <w:p>
      <w:pPr>
        <w:pStyle w:val="ListParagraph"/>
        <w:numPr>
          <w:ilvl w:val="1"/>
          <w:numId w:val="4"/>
        </w:numPr>
        <w:spacing w:after="80" w:line="276"/>
      </w:pPr>
      <w:r>
        <w:rPr>
          <w:b/>
          <w:bCs/>
          <w:sz w:val="22"/>
          <w:szCs w:val="22"/>
        </w:rPr>
        <w:t xml:space="preserve">wilful disobedience</w:t>
      </w:r>
      <w:r>
        <w:rPr>
          <w:sz w:val="22"/>
          <w:szCs w:val="22"/>
        </w:rPr>
        <w:t xml:space="preserve"> of an express order/rule framed for safety; or</w:t>
      </w:r>
    </w:p>
    <w:p>
      <w:pPr>
        <w:pStyle w:val="ListParagraph"/>
        <w:numPr>
          <w:ilvl w:val="1"/>
          <w:numId w:val="4"/>
        </w:numPr>
        <w:spacing w:after="80" w:line="276"/>
      </w:pPr>
      <w:r>
        <w:rPr>
          <w:b/>
          <w:bCs/>
          <w:sz w:val="22"/>
          <w:szCs w:val="22"/>
        </w:rPr>
        <w:t xml:space="preserve">wilful removal or disregard of a safety guard/device</w:t>
      </w:r>
      <w:r>
        <w:rPr>
          <w:sz w:val="22"/>
          <w:szCs w:val="22"/>
        </w:rPr>
        <w:t xml:space="preserve"> the employee knew was provided for safety.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F3864" w:sz="4"/>
              <w:left w:val="single" w:color="1F3864" w:sz="18"/>
              <w:bottom w:val="single" w:color="1F3864" w:sz="4"/>
              <w:right w:val="single" w:color="1F3864" w:sz="4"/>
            </w:tcBorders>
            <w:shd w:fill="EEF2F9" w:color="auto" w:val="clear"/>
            <w:tcMar>
              <w:top w:type="dxa" w:w="120"/>
              <w:left w:type="dxa" w:w="180"/>
              <w:bottom w:type="dxa" w:w="120"/>
              <w:right w:type="dxa" w:w="180"/>
            </w:tcMar>
          </w:tcPr>
          <w:p>
            <w:pPr>
              <w:spacing w:after="60"/>
            </w:pPr>
            <w:r>
              <w:rPr>
                <w:b/>
                <w:bCs/>
                <w:color w:val="1F3864"/>
                <w:sz w:val="20"/>
                <w:szCs w:val="20"/>
              </w:rPr>
              <w:t xml:space="preserve">⚖  CASE LAW</w:t>
            </w:r>
          </w:p>
          <w:p>
            <w:pPr>
              <w:spacing w:after="60" w:line="280"/>
            </w:pPr>
            <w:r>
              <w:rPr>
                <w:b/>
                <w:bCs/>
                <w:sz w:val="21"/>
                <w:szCs w:val="21"/>
              </w:rPr>
              <w:t xml:space="preserve">National Insurance Co. Ltd. v. Mubasir Ahmed</w:t>
            </w:r>
            <w:r>
              <w:rPr>
                <w:sz w:val="21"/>
                <w:szCs w:val="21"/>
              </w:rPr>
              <w:t xml:space="preserve">, (2007) 2 SCC 349</w:t>
            </w:r>
          </w:p>
          <w:p>
            <w:pPr>
              <w:spacing w:after="0" w:line="280"/>
            </w:pPr>
            <w:r>
              <w:rPr>
                <w:sz w:val="21"/>
                <w:szCs w:val="21"/>
              </w:rPr>
              <w:t xml:space="preserve">The Supreme Court held that the burden of proving that the accident falls within one of the statutory exceptions — such as the employee being under the influence of drink or drugs — lies squarely on the employer (or its insurer), and must be proved by cogent evidence, not mere suspicion. Mere presence of alcohol in the blood is not sufficient unless it is shown to be the direct cause of the accident.</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F3864" w:sz="4"/>
              <w:left w:val="single" w:color="1F3864" w:sz="18"/>
              <w:bottom w:val="single" w:color="1F3864" w:sz="4"/>
              <w:right w:val="single" w:color="1F3864" w:sz="4"/>
            </w:tcBorders>
            <w:shd w:fill="EEF2F9" w:color="auto" w:val="clear"/>
            <w:tcMar>
              <w:top w:type="dxa" w:w="120"/>
              <w:left w:type="dxa" w:w="180"/>
              <w:bottom w:type="dxa" w:w="120"/>
              <w:right w:type="dxa" w:w="180"/>
            </w:tcMar>
          </w:tcPr>
          <w:p>
            <w:pPr>
              <w:spacing w:after="60"/>
            </w:pPr>
            <w:r>
              <w:rPr>
                <w:b/>
                <w:bCs/>
                <w:color w:val="1F3864"/>
                <w:sz w:val="20"/>
                <w:szCs w:val="20"/>
              </w:rPr>
              <w:t xml:space="preserve">⚖  CASE LAW</w:t>
            </w:r>
          </w:p>
          <w:p>
            <w:pPr>
              <w:spacing w:after="60" w:line="280"/>
            </w:pPr>
            <w:r>
              <w:rPr>
                <w:b/>
                <w:bCs/>
                <w:sz w:val="21"/>
                <w:szCs w:val="21"/>
              </w:rPr>
              <w:t xml:space="preserve">Divisional Controller, KSRTC v. Mahadeva Shetty</w:t>
            </w:r>
            <w:r>
              <w:rPr>
                <w:sz w:val="21"/>
                <w:szCs w:val="21"/>
              </w:rPr>
              <w:t xml:space="preserve">, (2003) 7 SCC 197</w:t>
            </w:r>
          </w:p>
          <w:p>
            <w:pPr>
              <w:spacing w:after="0" w:line="280"/>
            </w:pPr>
            <w:r>
              <w:rPr>
                <w:sz w:val="21"/>
                <w:szCs w:val="21"/>
              </w:rPr>
              <w:t xml:space="preserve">The Court reiterated that provisions granting compensation to workmen are beneficial and remedial in nature and must be liberally construed in favour of the employee, while the exceptions carved out in the proviso — being in derogation of that beneficial object — must be construed strictly and narrowly against the employer.</w:t>
            </w:r>
          </w:p>
        </w:tc>
      </w:tr>
    </w:tbl>
    <w:p>
      <w:pPr>
        <w:spacing w:after="160"/>
      </w:pPr>
    </w:p>
    <w:p>
      <w:pPr>
        <w:pStyle w:val="Heading2"/>
        <w:spacing w:after="100" w:before="240"/>
      </w:pPr>
      <w:r>
        <w:rPr>
          <w:b/>
          <w:bCs/>
          <w:color w:val="8A6D3B"/>
          <w:sz w:val="24"/>
          <w:szCs w:val="24"/>
        </w:rPr>
        <w:t xml:space="preserve">Deeming Provisions that Widen Liability — Sec. 74(2)–(4)</w:t>
      </w:r>
    </w:p>
    <w:p>
      <w:pPr>
        <w:pStyle w:val="ListParagraph"/>
        <w:numPr>
          <w:ilvl w:val="0"/>
          <w:numId w:val="5"/>
        </w:numPr>
        <w:spacing w:after="80" w:line="276"/>
      </w:pPr>
      <w:r>
        <w:rPr>
          <w:sz w:val="22"/>
          <w:szCs w:val="22"/>
        </w:rPr>
        <w:t xml:space="preserve">An accident is still deemed to arise "out of and in the course of employment" even if the employee was acting in contravention of law/employer's orders, or without instructions, provided (a) it would have been so deemed had there been no such contravention, and (b) the act was done for the purpose of the employer's trade/business.</w:t>
      </w:r>
    </w:p>
    <w:p>
      <w:pPr>
        <w:pStyle w:val="ListParagraph"/>
        <w:numPr>
          <w:ilvl w:val="0"/>
          <w:numId w:val="5"/>
        </w:numPr>
        <w:spacing w:after="80" w:line="276"/>
      </w:pPr>
      <w:r>
        <w:rPr>
          <w:sz w:val="22"/>
          <w:szCs w:val="22"/>
        </w:rPr>
        <w:t xml:space="preserve">Occupational diseases specified against an employment in Schedule III, contracted after continuous service of not less than </w:t>
      </w:r>
      <w:r>
        <w:rPr>
          <w:b/>
          <w:bCs/>
          <w:sz w:val="22"/>
          <w:szCs w:val="22"/>
        </w:rPr>
        <w:t xml:space="preserve">6 months</w:t>
      </w:r>
      <w:r>
        <w:rPr>
          <w:sz w:val="22"/>
          <w:szCs w:val="22"/>
        </w:rPr>
        <w:t xml:space="preserve">, are deemed injury by accident (Sec. 74(3)).</w:t>
      </w:r>
    </w:p>
    <w:p>
      <w:pPr>
        <w:pStyle w:val="ListParagraph"/>
        <w:numPr>
          <w:ilvl w:val="0"/>
          <w:numId w:val="5"/>
        </w:numPr>
        <w:spacing w:after="80" w:line="276"/>
      </w:pPr>
      <w:r>
        <w:rPr>
          <w:b/>
          <w:bCs/>
          <w:sz w:val="22"/>
          <w:szCs w:val="22"/>
        </w:rPr>
        <w:t xml:space="preserve">Commuting accidents</w:t>
      </w:r>
      <w:r>
        <w:rPr>
          <w:sz w:val="22"/>
          <w:szCs w:val="22"/>
        </w:rPr>
        <w:t xml:space="preserve"> are covered if a nexus is established between the accident's circumstances, time, place, and the employment (Sec. 74(4)) — a notable new addition compared to the old EC Act, 1923.</w:t>
      </w:r>
    </w:p>
    <w:p>
      <w:pPr>
        <w:pStyle w:val="Heading2"/>
        <w:spacing w:after="100" w:before="240"/>
      </w:pPr>
      <w:r>
        <w:rPr>
          <w:b/>
          <w:bCs/>
          <w:color w:val="8A6D3B"/>
          <w:sz w:val="24"/>
          <w:szCs w:val="24"/>
        </w:rPr>
        <w:t xml:space="preserve">Bar on Double Remedy — Sec. 74(7)</w:t>
      </w:r>
    </w:p>
    <w:p>
      <w:pPr>
        <w:spacing w:after="120" w:line="300"/>
      </w:pPr>
      <w:r>
        <w:rPr>
          <w:sz w:val="22"/>
          <w:szCs w:val="22"/>
        </w:rPr>
        <w:t xml:space="preserve">No right to compensation arises if the employee has already sued for damages in a civil court for the same injury, and vice versa — the two remedies are mutually exclusive. An employee must elect between the summary, no-fault remedy under Chapter VII and a fault-based civil suit for damages; he cannot pursue both simultaneously or successively for the same accident.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A6D3B" w:sz="4"/>
              <w:left w:val="single" w:color="8A6D3B" w:sz="18"/>
              <w:bottom w:val="single" w:color="8A6D3B" w:sz="4"/>
              <w:right w:val="single" w:color="8A6D3B" w:sz="4"/>
            </w:tcBorders>
            <w:shd w:fill="FBF3E6" w:color="auto" w:val="clear"/>
            <w:tcMar>
              <w:top w:type="dxa" w:w="120"/>
              <w:left w:type="dxa" w:w="180"/>
              <w:bottom w:type="dxa" w:w="120"/>
              <w:right w:type="dxa" w:w="180"/>
            </w:tcMar>
          </w:tcPr>
          <w:p>
            <w:pPr>
              <w:spacing w:after="60"/>
            </w:pPr>
            <w:r>
              <w:rPr>
                <w:b/>
                <w:bCs/>
                <w:color w:val="8A6D3B"/>
                <w:sz w:val="20"/>
                <w:szCs w:val="20"/>
              </w:rPr>
              <w:t xml:space="preserve">💡 ILLUSTRATION</w:t>
            </w:r>
          </w:p>
          <w:p>
            <w:pPr>
              <w:spacing w:after="0" w:line="280"/>
            </w:pPr>
            <w:r>
              <w:rPr>
                <w:sz w:val="21"/>
                <w:szCs w:val="21"/>
              </w:rPr>
              <w:t xml:space="preserve">An employee injured due to a defective crane at a factory has two possible remedies: (a) file a claim for compensation before the competent authority under Section 74, which does not require proof of the employer's negligence but yields a fixed statutory amount; or (b) sue the employer in a civil court for damages for negligence, which requires proof of fault but could yield a higher, unliquidated amount. Once he elects and institutes one remedy, Section 74(7) bars him from also pursuing the other.</w:t>
            </w:r>
          </w:p>
        </w:tc>
      </w:tr>
    </w:tbl>
    <w:p>
      <w:pPr>
        <w:spacing w:after="160"/>
      </w:pPr>
    </w:p>
    <w:p>
      <w:pPr>
        <w:pStyle w:val="Heading1"/>
        <w:pBdr>
          <w:bottom w:val="single" w:color="1F3864" w:sz="8" w:space="4"/>
        </w:pBdr>
        <w:spacing w:after="160" w:before="360"/>
      </w:pPr>
      <w:r>
        <w:rPr>
          <w:b/>
          <w:bCs/>
          <w:color w:val="1F3864"/>
          <w:sz w:val="28"/>
          <w:szCs w:val="28"/>
        </w:rPr>
        <w:t xml:space="preserve">Q(c). Employer's Responsibility for Health, Safety and Working Conditions (Section 23, OSH Code, 2020)</w:t>
      </w:r>
    </w:p>
    <w:p>
      <w:pPr>
        <w:spacing w:after="120" w:line="300"/>
      </w:pPr>
      <w:r>
        <w:rPr>
          <w:sz w:val="22"/>
          <w:szCs w:val="22"/>
        </w:rPr>
        <w:t xml:space="preserve">This falls under Chapter V of the OSH Code, titled "Health, Safety and Working Conditions." The right to a safe and healthy working environment is today recognised not merely as a statutory entitlement but as an integral facet of the right to life and personal liberty guaranteed under Article 21 of the Constitution, and Section 23 must be read against this constitutional backdrop.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F3864" w:sz="4"/>
              <w:left w:val="single" w:color="1F3864" w:sz="18"/>
              <w:bottom w:val="single" w:color="1F3864" w:sz="4"/>
              <w:right w:val="single" w:color="1F3864" w:sz="4"/>
            </w:tcBorders>
            <w:shd w:fill="EEF2F9" w:color="auto" w:val="clear"/>
            <w:tcMar>
              <w:top w:type="dxa" w:w="120"/>
              <w:left w:type="dxa" w:w="180"/>
              <w:bottom w:type="dxa" w:w="120"/>
              <w:right w:type="dxa" w:w="180"/>
            </w:tcMar>
          </w:tcPr>
          <w:p>
            <w:pPr>
              <w:spacing w:after="60"/>
            </w:pPr>
            <w:r>
              <w:rPr>
                <w:b/>
                <w:bCs/>
                <w:color w:val="1F3864"/>
                <w:sz w:val="20"/>
                <w:szCs w:val="20"/>
              </w:rPr>
              <w:t xml:space="preserve">⚖  CASE LAW</w:t>
            </w:r>
          </w:p>
          <w:p>
            <w:pPr>
              <w:spacing w:after="60" w:line="280"/>
            </w:pPr>
            <w:r>
              <w:rPr>
                <w:b/>
                <w:bCs/>
                <w:sz w:val="21"/>
                <w:szCs w:val="21"/>
              </w:rPr>
              <w:t xml:space="preserve">Consumer Education &amp; Research Centre v. Union of India</w:t>
            </w:r>
            <w:r>
              <w:rPr>
                <w:sz w:val="21"/>
                <w:szCs w:val="21"/>
              </w:rPr>
              <w:t xml:space="preserve">, (1995) 3 SCC 42</w:t>
            </w:r>
          </w:p>
          <w:p>
            <w:pPr>
              <w:spacing w:after="0" w:line="280"/>
            </w:pPr>
            <w:r>
              <w:rPr>
                <w:sz w:val="21"/>
                <w:szCs w:val="21"/>
              </w:rPr>
              <w:t xml:space="preserve">Dealing with workers in the asbestos industry suffering from asbestosis, the Supreme Court held that the right to health and medical care to protect a worker's health during and after employment is a fundamental right under Article 21, read with Articles 39(e), 41 and 43. The Court directed compulsory health insurance and periodical medical examinations for workers in hazardous industries — principles that are now given statutory shape through Section 23's requirement of free annual health examinations and safe working conditions.</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F3864" w:sz="4"/>
              <w:left w:val="single" w:color="1F3864" w:sz="18"/>
              <w:bottom w:val="single" w:color="1F3864" w:sz="4"/>
              <w:right w:val="single" w:color="1F3864" w:sz="4"/>
            </w:tcBorders>
            <w:shd w:fill="EEF2F9" w:color="auto" w:val="clear"/>
            <w:tcMar>
              <w:top w:type="dxa" w:w="120"/>
              <w:left w:type="dxa" w:w="180"/>
              <w:bottom w:type="dxa" w:w="120"/>
              <w:right w:type="dxa" w:w="180"/>
            </w:tcMar>
          </w:tcPr>
          <w:p>
            <w:pPr>
              <w:spacing w:after="60"/>
            </w:pPr>
            <w:r>
              <w:rPr>
                <w:b/>
                <w:bCs/>
                <w:color w:val="1F3864"/>
                <w:sz w:val="20"/>
                <w:szCs w:val="20"/>
              </w:rPr>
              <w:t xml:space="preserve">⚖  CASE LAW</w:t>
            </w:r>
          </w:p>
          <w:p>
            <w:pPr>
              <w:spacing w:after="60" w:line="280"/>
            </w:pPr>
            <w:r>
              <w:rPr>
                <w:b/>
                <w:bCs/>
                <w:sz w:val="21"/>
                <w:szCs w:val="21"/>
              </w:rPr>
              <w:t xml:space="preserve">Bandhua Mukti Morcha v. Union of India</w:t>
            </w:r>
            <w:r>
              <w:rPr>
                <w:sz w:val="21"/>
                <w:szCs w:val="21"/>
              </w:rPr>
              <w:t xml:space="preserve">, AIR 1984 SC 802</w:t>
            </w:r>
          </w:p>
          <w:p>
            <w:pPr>
              <w:spacing w:after="0" w:line="280"/>
            </w:pPr>
            <w:r>
              <w:rPr>
                <w:sz w:val="21"/>
                <w:szCs w:val="21"/>
              </w:rPr>
              <w:t xml:space="preserve">The Supreme Court held that the right to live with human dignity under Article 21 derives its life-breath from the Directive Principles, and in particular includes protection of health and strength of workers, just and humane conditions of work, and provisions for rest — reinforcing that an employer's duty to maintain safe working conditions is not a mere administrative formality but a constitutional imperative.</w:t>
            </w:r>
          </w:p>
        </w:tc>
      </w:tr>
    </w:tbl>
    <w:p>
      <w:pPr>
        <w:spacing w:after="160"/>
      </w:pPr>
    </w:p>
    <w:p>
      <w:pPr>
        <w:pStyle w:val="Heading2"/>
        <w:spacing w:after="100" w:before="240"/>
      </w:pPr>
      <w:r>
        <w:rPr>
          <w:b/>
          <w:bCs/>
          <w:color w:val="8A6D3B"/>
          <w:sz w:val="24"/>
          <w:szCs w:val="24"/>
        </w:rPr>
        <w:t xml:space="preserve">Core Provision — Sec. 23(1)</w:t>
      </w:r>
    </w:p>
    <w:p>
      <w:pPr>
        <w:spacing w:after="120" w:line="300"/>
      </w:pPr>
      <w:r>
        <w:rPr>
          <w:sz w:val="22"/>
          <w:szCs w:val="22"/>
        </w:rPr>
        <w:t xml:space="preserve">The employer shall be responsible to maintain in his establishment such health, safety and working conditions for the employees as may be prescribed by the Central Government.</w:t>
      </w:r>
    </w:p>
    <w:p>
      <w:pPr>
        <w:pStyle w:val="Heading2"/>
        <w:spacing w:after="100" w:before="240"/>
      </w:pPr>
      <w:r>
        <w:rPr>
          <w:b/>
          <w:bCs/>
          <w:color w:val="8A6D3B"/>
          <w:sz w:val="24"/>
          <w:szCs w:val="24"/>
        </w:rPr>
        <w:t xml:space="preserve">Matters the Central Government May Prescribe — Sec. 23(2)</w:t>
      </w:r>
    </w:p>
    <w:p>
      <w:pPr>
        <w:pStyle w:val="ListParagraph"/>
        <w:numPr>
          <w:ilvl w:val="0"/>
          <w:numId w:val="6"/>
        </w:numPr>
        <w:spacing w:after="80" w:line="276"/>
      </w:pPr>
      <w:r>
        <w:rPr>
          <w:sz w:val="22"/>
          <w:szCs w:val="22"/>
        </w:rPr>
        <w:t xml:space="preserve">Cleanliness and hygiene</w:t>
      </w:r>
    </w:p>
    <w:p>
      <w:pPr>
        <w:pStyle w:val="ListParagraph"/>
        <w:numPr>
          <w:ilvl w:val="0"/>
          <w:numId w:val="6"/>
        </w:numPr>
        <w:spacing w:after="80" w:line="276"/>
      </w:pPr>
      <w:r>
        <w:rPr>
          <w:sz w:val="22"/>
          <w:szCs w:val="22"/>
        </w:rPr>
        <w:t xml:space="preserve">Ventilation, temperature and humidity control</w:t>
      </w:r>
    </w:p>
    <w:p>
      <w:pPr>
        <w:pStyle w:val="ListParagraph"/>
        <w:numPr>
          <w:ilvl w:val="0"/>
          <w:numId w:val="6"/>
        </w:numPr>
        <w:spacing w:after="80" w:line="276"/>
      </w:pPr>
      <w:r>
        <w:rPr>
          <w:sz w:val="22"/>
          <w:szCs w:val="22"/>
        </w:rPr>
        <w:t xml:space="preserve">Environment free from dust, noxious gas, fumes and impurities</w:t>
      </w:r>
    </w:p>
    <w:p>
      <w:pPr>
        <w:pStyle w:val="ListParagraph"/>
        <w:numPr>
          <w:ilvl w:val="0"/>
          <w:numId w:val="6"/>
        </w:numPr>
        <w:spacing w:after="80" w:line="276"/>
      </w:pPr>
      <w:r>
        <w:rPr>
          <w:sz w:val="22"/>
          <w:szCs w:val="22"/>
        </w:rPr>
        <w:t xml:space="preserve">Adequate humidification/cooling standards in work rooms</w:t>
      </w:r>
    </w:p>
    <w:p>
      <w:pPr>
        <w:pStyle w:val="ListParagraph"/>
        <w:numPr>
          <w:ilvl w:val="0"/>
          <w:numId w:val="6"/>
        </w:numPr>
        <w:spacing w:after="80" w:line="276"/>
      </w:pPr>
      <w:r>
        <w:rPr>
          <w:sz w:val="22"/>
          <w:szCs w:val="22"/>
        </w:rPr>
        <w:t xml:space="preserve">Potable drinking water</w:t>
      </w:r>
    </w:p>
    <w:p>
      <w:pPr>
        <w:pStyle w:val="ListParagraph"/>
        <w:numPr>
          <w:ilvl w:val="0"/>
          <w:numId w:val="6"/>
        </w:numPr>
        <w:spacing w:after="80" w:line="276"/>
      </w:pPr>
      <w:r>
        <w:rPr>
          <w:sz w:val="22"/>
          <w:szCs w:val="22"/>
        </w:rPr>
        <w:t xml:space="preserve">Standards preventing overcrowding, ensuring sufficient space</w:t>
      </w:r>
    </w:p>
    <w:p>
      <w:pPr>
        <w:pStyle w:val="ListParagraph"/>
        <w:numPr>
          <w:ilvl w:val="0"/>
          <w:numId w:val="6"/>
        </w:numPr>
        <w:spacing w:after="80" w:line="276"/>
      </w:pPr>
      <w:r>
        <w:rPr>
          <w:sz w:val="22"/>
          <w:szCs w:val="22"/>
        </w:rPr>
        <w:t xml:space="preserve">Adequate lighting</w:t>
      </w:r>
    </w:p>
    <w:p>
      <w:pPr>
        <w:pStyle w:val="ListParagraph"/>
        <w:numPr>
          <w:ilvl w:val="0"/>
          <w:numId w:val="6"/>
        </w:numPr>
        <w:spacing w:after="80" w:line="276"/>
      </w:pPr>
      <w:r>
        <w:rPr>
          <w:sz w:val="22"/>
          <w:szCs w:val="22"/>
        </w:rPr>
        <w:t xml:space="preserve">Separate latrine/urinal facilities for male, female and transgender employees, hygienically maintained</w:t>
      </w:r>
    </w:p>
    <w:p>
      <w:pPr>
        <w:pStyle w:val="ListParagraph"/>
        <w:numPr>
          <w:ilvl w:val="0"/>
          <w:numId w:val="6"/>
        </w:numPr>
        <w:spacing w:after="80" w:line="276"/>
      </w:pPr>
      <w:r>
        <w:rPr>
          <w:sz w:val="22"/>
          <w:szCs w:val="22"/>
        </w:rPr>
        <w:t xml:space="preserve">Effective arrangements for disposal of waste and effluents</w:t>
      </w:r>
    </w:p>
    <w:p>
      <w:pPr>
        <w:pStyle w:val="ListParagraph"/>
        <w:numPr>
          <w:ilvl w:val="0"/>
          <w:numId w:val="6"/>
        </w:numPr>
        <w:spacing w:after="80" w:line="276"/>
      </w:pPr>
      <w:r>
        <w:rPr>
          <w:sz w:val="22"/>
          <w:szCs w:val="22"/>
        </w:rPr>
        <w:t xml:space="preserve">Any other arrangement the government considers appropriate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A6D3B" w:sz="4"/>
              <w:left w:val="single" w:color="8A6D3B" w:sz="18"/>
              <w:bottom w:val="single" w:color="8A6D3B" w:sz="4"/>
              <w:right w:val="single" w:color="8A6D3B" w:sz="4"/>
            </w:tcBorders>
            <w:shd w:fill="FBF3E6" w:color="auto" w:val="clear"/>
            <w:tcMar>
              <w:top w:type="dxa" w:w="120"/>
              <w:left w:type="dxa" w:w="180"/>
              <w:bottom w:type="dxa" w:w="120"/>
              <w:right w:type="dxa" w:w="180"/>
            </w:tcMar>
          </w:tcPr>
          <w:p>
            <w:pPr>
              <w:spacing w:after="60"/>
            </w:pPr>
            <w:r>
              <w:rPr>
                <w:b/>
                <w:bCs/>
                <w:color w:val="8A6D3B"/>
                <w:sz w:val="20"/>
                <w:szCs w:val="20"/>
              </w:rPr>
              <w:t xml:space="preserve">💡 ILLUSTRATION</w:t>
            </w:r>
          </w:p>
          <w:p>
            <w:pPr>
              <w:spacing w:after="0" w:line="280"/>
            </w:pPr>
            <w:r>
              <w:rPr>
                <w:sz w:val="21"/>
                <w:szCs w:val="21"/>
              </w:rPr>
              <w:t xml:space="preserve">A chemical processing unit emits noxious fumes into its work rooms and has no arrangement for treatment of effluents before discharge. Under Section 23(2)(iii) and (ix), the employer is statutorily bound to ensure an environment free from noxious gases and to put in place effective effluent-treatment arrangements. Failure to do so would not only breach Section 23 but, since it involves a hazardous process, would attract the enhanced penalty under Section 102 of the Code (up to 2 years' imprisonment and fine up to ₹5 lakh) discussed in Q(e) below.</w:t>
            </w:r>
          </w:p>
        </w:tc>
      </w:tr>
    </w:tbl>
    <w:p>
      <w:pPr>
        <w:spacing w:after="160"/>
      </w:pPr>
    </w:p>
    <w:p>
      <w:pPr>
        <w:pStyle w:val="Heading2"/>
        <w:spacing w:after="100" w:before="240"/>
      </w:pPr>
      <w:r>
        <w:rPr>
          <w:b/>
          <w:bCs/>
          <w:color w:val="8A6D3B"/>
          <w:sz w:val="24"/>
          <w:szCs w:val="24"/>
        </w:rPr>
        <w:t xml:space="preserve">Linking Back for Fuller Marks</w:t>
      </w:r>
    </w:p>
    <w:p>
      <w:pPr>
        <w:spacing w:after="120" w:line="300"/>
      </w:pPr>
      <w:r>
        <w:rPr>
          <w:sz w:val="22"/>
          <w:szCs w:val="22"/>
        </w:rPr>
        <w:t xml:space="preserve">Connect this to the general duties of employer under Section 6 (Chapter III) — e.g., keeping the workplace free of hazards, complying with OSH standards under Sec. 18, free annual health check-ups, safe working environment, disposal of hazardous/e-waste, and issuing appointment letters. Section 23 operationalises that general duty specifically for physical working conditions, while Chapter VI (welfare provisions, Sec. 24) separately covers washing facilities, creches, canteens etc. Structuring the answer as: Duties (Ch. III) → Health/Safety/Working Conditions (Ch. V) → Welfare (Ch. VI) demonstrates structural understanding of the Code.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F3864" w:sz="4"/>
              <w:left w:val="single" w:color="1F3864" w:sz="18"/>
              <w:bottom w:val="single" w:color="1F3864" w:sz="4"/>
              <w:right w:val="single" w:color="1F3864" w:sz="4"/>
            </w:tcBorders>
            <w:shd w:fill="EEF2F9" w:color="auto" w:val="clear"/>
            <w:tcMar>
              <w:top w:type="dxa" w:w="120"/>
              <w:left w:type="dxa" w:w="180"/>
              <w:bottom w:type="dxa" w:w="120"/>
              <w:right w:type="dxa" w:w="180"/>
            </w:tcMar>
          </w:tcPr>
          <w:p>
            <w:pPr>
              <w:spacing w:after="60"/>
            </w:pPr>
            <w:r>
              <w:rPr>
                <w:b/>
                <w:bCs/>
                <w:color w:val="1F3864"/>
                <w:sz w:val="20"/>
                <w:szCs w:val="20"/>
              </w:rPr>
              <w:t xml:space="preserve">⚖  CASE LAW</w:t>
            </w:r>
          </w:p>
          <w:p>
            <w:pPr>
              <w:spacing w:after="60" w:line="280"/>
            </w:pPr>
            <w:r>
              <w:rPr>
                <w:b/>
                <w:bCs/>
                <w:sz w:val="21"/>
                <w:szCs w:val="21"/>
              </w:rPr>
              <w:t xml:space="preserve">M.C. Mehta v. Union of India (Oleum Gas Leak case)</w:t>
            </w:r>
            <w:r>
              <w:rPr>
                <w:sz w:val="21"/>
                <w:szCs w:val="21"/>
              </w:rPr>
              <w:t xml:space="preserve">, AIR 1987 SC 1086</w:t>
            </w:r>
          </w:p>
          <w:p>
            <w:pPr>
              <w:spacing w:after="0" w:line="280"/>
            </w:pPr>
            <w:r>
              <w:rPr>
                <w:sz w:val="21"/>
                <w:szCs w:val="21"/>
              </w:rPr>
              <w:t xml:space="preserve">Arising from a leak of oleum gas from a factory in Delhi, the Supreme Court evolved the doctrine of "absolute liability" for enterprises engaged in hazardous or inherently dangerous activities, holding such enterprises strictly and non-delegably liable for any harm resulting from their operations, without any of the traditional defences available under the older rule in Rylands v. Fletcher. This judicial philosophy is the doctrinal foundation for the stringent, near strict-liability duties imposed on employers in hazardous processes under Sections 6 and 23 of the OSH Code, and the enhanced penal consequences under Section 102.</w:t>
            </w:r>
          </w:p>
        </w:tc>
      </w:tr>
    </w:tbl>
    <w:p>
      <w:pPr>
        <w:spacing w:after="160"/>
      </w:pPr>
    </w:p>
    <w:p>
      <w:pPr>
        <w:pStyle w:val="Heading1"/>
        <w:pBdr>
          <w:bottom w:val="single" w:color="1F3864" w:sz="8" w:space="4"/>
        </w:pBdr>
        <w:spacing w:after="160" w:before="360"/>
      </w:pPr>
      <w:r>
        <w:rPr>
          <w:b/>
          <w:bCs/>
          <w:color w:val="1F3864"/>
          <w:sz w:val="28"/>
          <w:szCs w:val="28"/>
        </w:rPr>
        <w:t xml:space="preserve">Q(d). Types of Workers under CSS, 2020 and OSH Code, 2020</w:t>
      </w:r>
    </w:p>
    <w:p>
      <w:pPr>
        <w:pStyle w:val="Heading2"/>
        <w:spacing w:after="100" w:before="240"/>
      </w:pPr>
      <w:r>
        <w:rPr>
          <w:b/>
          <w:bCs/>
          <w:color w:val="8A6D3B"/>
          <w:sz w:val="24"/>
          <w:szCs w:val="24"/>
        </w:rPr>
        <w:t xml:space="preserve">Introduction</w:t>
      </w:r>
    </w:p>
    <w:p>
      <w:pPr>
        <w:spacing w:after="120" w:line="300"/>
      </w:pPr>
      <w:r>
        <w:rPr>
          <w:sz w:val="22"/>
          <w:szCs w:val="22"/>
        </w:rPr>
        <w:t xml:space="preserve">The classification of a person as an "employee", "worker", "contract labour" or an emerging category such as a "gig worker" is not a mere academic exercise — it determines which chapter of the Code applies to that person, what benefits or protections he is entitled to, and who bears statutory responsibility for compliance. Both Codes therefore define a range of overlapping but distinct worker-categories, reflecting both the traditional industrial-relations understanding of "employment" and the newer, technology-driven modes of engaging labour.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F3864" w:sz="4"/>
              <w:left w:val="single" w:color="1F3864" w:sz="18"/>
              <w:bottom w:val="single" w:color="1F3864" w:sz="4"/>
              <w:right w:val="single" w:color="1F3864" w:sz="4"/>
            </w:tcBorders>
            <w:shd w:fill="EEF2F9" w:color="auto" w:val="clear"/>
            <w:tcMar>
              <w:top w:type="dxa" w:w="120"/>
              <w:left w:type="dxa" w:w="180"/>
              <w:bottom w:type="dxa" w:w="120"/>
              <w:right w:type="dxa" w:w="180"/>
            </w:tcMar>
          </w:tcPr>
          <w:p>
            <w:pPr>
              <w:spacing w:after="60"/>
            </w:pPr>
            <w:r>
              <w:rPr>
                <w:b/>
                <w:bCs/>
                <w:color w:val="1F3864"/>
                <w:sz w:val="20"/>
                <w:szCs w:val="20"/>
              </w:rPr>
              <w:t xml:space="preserve">⚖  CASE LAW</w:t>
            </w:r>
          </w:p>
          <w:p>
            <w:pPr>
              <w:spacing w:after="60" w:line="280"/>
            </w:pPr>
            <w:r>
              <w:rPr>
                <w:b/>
                <w:bCs/>
                <w:sz w:val="21"/>
                <w:szCs w:val="21"/>
              </w:rPr>
              <w:t xml:space="preserve">Dharangadhara Chemical Works Ltd. v. State of Saurashtra</w:t>
            </w:r>
            <w:r>
              <w:rPr>
                <w:sz w:val="21"/>
                <w:szCs w:val="21"/>
              </w:rPr>
              <w:t xml:space="preserve">, AIR 1957 SC 264</w:t>
            </w:r>
          </w:p>
          <w:p>
            <w:pPr>
              <w:spacing w:after="0" w:line="280"/>
            </w:pPr>
            <w:r>
              <w:rPr>
                <w:sz w:val="21"/>
                <w:szCs w:val="21"/>
              </w:rPr>
              <w:t xml:space="preserve">The Supreme Court laid down the "control test" to determine whether a person is an employee/workman or an independent contractor: the crucial question is whether the employer has the right to control not merely what work is to be done but the manner of doing it. This test remains highly relevant when classifying persons under the various worker-categories in both Codes, especially where the line between "contract labour" and a regular employee is disputed.</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F3864" w:sz="4"/>
              <w:left w:val="single" w:color="1F3864" w:sz="18"/>
              <w:bottom w:val="single" w:color="1F3864" w:sz="4"/>
              <w:right w:val="single" w:color="1F3864" w:sz="4"/>
            </w:tcBorders>
            <w:shd w:fill="EEF2F9" w:color="auto" w:val="clear"/>
            <w:tcMar>
              <w:top w:type="dxa" w:w="120"/>
              <w:left w:type="dxa" w:w="180"/>
              <w:bottom w:type="dxa" w:w="120"/>
              <w:right w:type="dxa" w:w="180"/>
            </w:tcMar>
          </w:tcPr>
          <w:p>
            <w:pPr>
              <w:spacing w:after="60"/>
            </w:pPr>
            <w:r>
              <w:rPr>
                <w:b/>
                <w:bCs/>
                <w:color w:val="1F3864"/>
                <w:sz w:val="20"/>
                <w:szCs w:val="20"/>
              </w:rPr>
              <w:t xml:space="preserve">⚖  CASE LAW</w:t>
            </w:r>
          </w:p>
          <w:p>
            <w:pPr>
              <w:spacing w:after="60" w:line="280"/>
            </w:pPr>
            <w:r>
              <w:rPr>
                <w:b/>
                <w:bCs/>
                <w:sz w:val="21"/>
                <w:szCs w:val="21"/>
              </w:rPr>
              <w:t xml:space="preserve">Uber BV v. Aslam</w:t>
            </w:r>
            <w:r>
              <w:rPr>
                <w:sz w:val="21"/>
                <w:szCs w:val="21"/>
              </w:rPr>
              <w:t xml:space="preserve">, [2021] UKSC 5 (UK Supreme Court)</w:t>
            </w:r>
          </w:p>
          <w:p>
            <w:pPr>
              <w:spacing w:after="0" w:line="280"/>
            </w:pPr>
            <w:r>
              <w:rPr>
                <w:sz w:val="21"/>
                <w:szCs w:val="21"/>
              </w:rPr>
              <w:t xml:space="preserve">Though a foreign decision, this case is a useful comparative illustration: the UK Supreme Court held that Uber drivers were "workers" (an intermediate category between employee and self-employed) entitled to minimum wage and paid leave, rejecting Uber's characterisation of them as independent contractors. India's introduction of the standalone "gig worker" and "platform worker" categories under Sections 2(35) and 2(61) of the Code on Social Security, 2020 can be seen as a legislative, rather than judicial, response to the same underlying classification problem — recognising a distinct third category instead of forcing platform workers into the binary employee/independent-contractor mould.</w:t>
            </w:r>
          </w:p>
        </w:tc>
      </w:tr>
    </w:tbl>
    <w:p>
      <w:pPr>
        <w:spacing w:after="160"/>
      </w:pPr>
    </w:p>
    <w:p>
      <w:pPr>
        <w:pStyle w:val="Heading2"/>
        <w:spacing w:after="100" w:before="240"/>
      </w:pPr>
      <w:r>
        <w:rPr>
          <w:b/>
          <w:bCs/>
          <w:color w:val="8A6D3B"/>
          <w:sz w:val="24"/>
          <w:szCs w:val="24"/>
        </w:rPr>
        <w:t xml:space="preserve">Under the Code on Social Security, 2020 (Sec. 2)</w:t>
      </w:r>
    </w:p>
    <w:p>
      <w:pPr>
        <w:pStyle w:val="ListParagraph"/>
        <w:numPr>
          <w:ilvl w:val="0"/>
          <w:numId w:val="4"/>
        </w:numPr>
        <w:spacing w:after="80" w:line="276"/>
      </w:pPr>
      <w:r>
        <w:rPr>
          <w:b/>
          <w:bCs/>
          <w:sz w:val="22"/>
          <w:szCs w:val="22"/>
        </w:rPr>
        <w:t xml:space="preserve">Employee</w:t>
      </w:r>
      <w:r>
        <w:rPr>
          <w:sz w:val="22"/>
          <w:szCs w:val="22"/>
        </w:rPr>
        <w:t xml:space="preserve"> — any person employed on wages in an establishment for skilled/unskilled/manual/clerical/supervisory work.</w:t>
      </w:r>
    </w:p>
    <w:p>
      <w:pPr>
        <w:pStyle w:val="ListParagraph"/>
        <w:numPr>
          <w:ilvl w:val="0"/>
          <w:numId w:val="4"/>
        </w:numPr>
        <w:spacing w:after="80" w:line="276"/>
      </w:pPr>
      <w:r>
        <w:rPr>
          <w:b/>
          <w:bCs/>
          <w:sz w:val="22"/>
          <w:szCs w:val="22"/>
        </w:rPr>
        <w:t xml:space="preserve">Unorganised worker</w:t>
      </w:r>
      <w:r>
        <w:rPr>
          <w:sz w:val="22"/>
          <w:szCs w:val="22"/>
        </w:rPr>
        <w:t xml:space="preserve"> — a home-based worker, self-employed worker, or wage worker in the unorganised sector, or an organised-sector worker not covered by the Industrial Disputes Act or Chapters III–VII of the Code.</w:t>
      </w:r>
    </w:p>
    <w:p>
      <w:pPr>
        <w:pStyle w:val="ListParagraph"/>
        <w:numPr>
          <w:ilvl w:val="0"/>
          <w:numId w:val="4"/>
        </w:numPr>
        <w:spacing w:after="80" w:line="276"/>
      </w:pPr>
      <w:r>
        <w:rPr>
          <w:b/>
          <w:bCs/>
          <w:sz w:val="22"/>
          <w:szCs w:val="22"/>
        </w:rPr>
        <w:t xml:space="preserve">Wage worker</w:t>
      </w:r>
      <w:r>
        <w:rPr>
          <w:sz w:val="22"/>
          <w:szCs w:val="22"/>
        </w:rPr>
        <w:t xml:space="preserve"> — employed for remuneration in the unorganised sector, directly or through a contractor, including home-based, temporary/casual, or migrant workers, and domestic workers.</w:t>
      </w:r>
    </w:p>
    <w:p>
      <w:pPr>
        <w:pStyle w:val="ListParagraph"/>
        <w:numPr>
          <w:ilvl w:val="0"/>
          <w:numId w:val="4"/>
        </w:numPr>
        <w:spacing w:after="80" w:line="276"/>
      </w:pPr>
      <w:r>
        <w:rPr>
          <w:b/>
          <w:bCs/>
          <w:sz w:val="22"/>
          <w:szCs w:val="22"/>
        </w:rPr>
        <w:t xml:space="preserve">Self-employed worker</w:t>
      </w:r>
      <w:r>
        <w:rPr>
          <w:sz w:val="22"/>
          <w:szCs w:val="22"/>
        </w:rPr>
        <w:t xml:space="preserve"> — not employed by an employer, engages in an occupation in the unorganised sector, subject to a notified income/land ceiling.</w:t>
      </w:r>
    </w:p>
    <w:p>
      <w:pPr>
        <w:pStyle w:val="ListParagraph"/>
        <w:numPr>
          <w:ilvl w:val="0"/>
          <w:numId w:val="4"/>
        </w:numPr>
        <w:spacing w:after="80" w:line="276"/>
      </w:pPr>
      <w:r>
        <w:rPr>
          <w:b/>
          <w:bCs/>
          <w:sz w:val="22"/>
          <w:szCs w:val="22"/>
        </w:rPr>
        <w:t xml:space="preserve">Home-based worker</w:t>
      </w:r>
      <w:r>
        <w:rPr>
          <w:sz w:val="22"/>
          <w:szCs w:val="22"/>
        </w:rPr>
        <w:t xml:space="preserve"> — engaged in production of goods/services from their own home or premises of choice, not the employer's workplace.</w:t>
      </w:r>
    </w:p>
    <w:p>
      <w:pPr>
        <w:pStyle w:val="ListParagraph"/>
        <w:numPr>
          <w:ilvl w:val="0"/>
          <w:numId w:val="4"/>
        </w:numPr>
        <w:spacing w:after="80" w:line="276"/>
      </w:pPr>
      <w:r>
        <w:rPr>
          <w:b/>
          <w:bCs/>
          <w:sz w:val="22"/>
          <w:szCs w:val="22"/>
        </w:rPr>
        <w:t xml:space="preserve">Gig worker</w:t>
      </w:r>
      <w:r>
        <w:rPr>
          <w:sz w:val="22"/>
          <w:szCs w:val="22"/>
        </w:rPr>
        <w:t xml:space="preserve"> — performs work outside a traditional employer-employee relationship and earns from such activities.</w:t>
      </w:r>
    </w:p>
    <w:p>
      <w:pPr>
        <w:pStyle w:val="ListParagraph"/>
        <w:numPr>
          <w:ilvl w:val="0"/>
          <w:numId w:val="4"/>
        </w:numPr>
        <w:spacing w:after="80" w:line="276"/>
      </w:pPr>
      <w:r>
        <w:rPr>
          <w:b/>
          <w:bCs/>
          <w:sz w:val="22"/>
          <w:szCs w:val="22"/>
        </w:rPr>
        <w:t xml:space="preserve">Platform worker</w:t>
      </w:r>
      <w:r>
        <w:rPr>
          <w:sz w:val="22"/>
          <w:szCs w:val="22"/>
        </w:rPr>
        <w:t xml:space="preserve"> — a person engaged in or undertaking "platform work" (work via an online platform/app connecting them to customers).</w:t>
      </w:r>
    </w:p>
    <w:p>
      <w:pPr>
        <w:pStyle w:val="ListParagraph"/>
        <w:numPr>
          <w:ilvl w:val="0"/>
          <w:numId w:val="4"/>
        </w:numPr>
        <w:spacing w:after="80" w:line="276"/>
      </w:pPr>
      <w:r>
        <w:rPr>
          <w:b/>
          <w:bCs/>
          <w:sz w:val="22"/>
          <w:szCs w:val="22"/>
        </w:rPr>
        <w:t xml:space="preserve">Inter-State migrant worker</w:t>
      </w:r>
      <w:r>
        <w:rPr>
          <w:sz w:val="22"/>
          <w:szCs w:val="22"/>
        </w:rPr>
        <w:t xml:space="preserve"> — recruited in one State for employment in an establishment in another State.</w:t>
      </w:r>
    </w:p>
    <w:p>
      <w:pPr>
        <w:pStyle w:val="ListParagraph"/>
        <w:numPr>
          <w:ilvl w:val="0"/>
          <w:numId w:val="4"/>
        </w:numPr>
        <w:spacing w:after="80" w:line="276"/>
      </w:pPr>
      <w:r>
        <w:rPr>
          <w:b/>
          <w:bCs/>
          <w:sz w:val="22"/>
          <w:szCs w:val="22"/>
        </w:rPr>
        <w:t xml:space="preserve">Fixed-term employee</w:t>
      </w:r>
      <w:r>
        <w:rPr>
          <w:sz w:val="22"/>
          <w:szCs w:val="22"/>
        </w:rPr>
        <w:t xml:space="preserve"> — engaged for a fixed contractual duration.</w:t>
      </w:r>
    </w:p>
    <w:p>
      <w:pPr>
        <w:pStyle w:val="Heading2"/>
        <w:spacing w:after="100" w:before="240"/>
      </w:pPr>
      <w:r>
        <w:rPr>
          <w:b/>
          <w:bCs/>
          <w:color w:val="8A6D3B"/>
          <w:sz w:val="24"/>
          <w:szCs w:val="24"/>
        </w:rPr>
        <w:t xml:space="preserve">Under the OSH Code, 2020 (Sec. 2)</w:t>
      </w:r>
    </w:p>
    <w:p>
      <w:pPr>
        <w:pStyle w:val="ListParagraph"/>
        <w:numPr>
          <w:ilvl w:val="0"/>
          <w:numId w:val="4"/>
        </w:numPr>
        <w:spacing w:after="80" w:line="276"/>
      </w:pPr>
      <w:r>
        <w:rPr>
          <w:b/>
          <w:bCs/>
          <w:sz w:val="22"/>
          <w:szCs w:val="22"/>
        </w:rPr>
        <w:t xml:space="preserve">Worker</w:t>
      </w:r>
      <w:r>
        <w:rPr>
          <w:sz w:val="22"/>
          <w:szCs w:val="22"/>
        </w:rPr>
        <w:t xml:space="preserve"> [Sec. 2(zzl)] — any person employed to do manual, unskilled, skilled, technical, operational, clerical or supervisory work for hire/reward; includes working journalists and sales promotion employees; excludes armed forces personnel, police/prison staff, and persons employed mainly in managerial/administrative capacity.</w:t>
      </w:r>
    </w:p>
    <w:p>
      <w:pPr>
        <w:pStyle w:val="ListParagraph"/>
        <w:numPr>
          <w:ilvl w:val="0"/>
          <w:numId w:val="4"/>
        </w:numPr>
        <w:spacing w:after="80" w:line="276"/>
      </w:pPr>
      <w:r>
        <w:rPr>
          <w:b/>
          <w:bCs/>
          <w:sz w:val="22"/>
          <w:szCs w:val="22"/>
        </w:rPr>
        <w:t xml:space="preserve">Contract labour</w:t>
      </w:r>
      <w:r>
        <w:rPr>
          <w:sz w:val="22"/>
          <w:szCs w:val="22"/>
        </w:rPr>
        <w:t xml:space="preserve"> — a worker employed through/by a contractor for the establishment's principal employer; includes inter-State migrant workers, but excludes those with a direct regular employer-employee relationship.</w:t>
      </w:r>
    </w:p>
    <w:p>
      <w:pPr>
        <w:pStyle w:val="ListParagraph"/>
        <w:numPr>
          <w:ilvl w:val="0"/>
          <w:numId w:val="4"/>
        </w:numPr>
        <w:spacing w:after="80" w:line="276"/>
      </w:pPr>
      <w:r>
        <w:rPr>
          <w:b/>
          <w:bCs/>
          <w:sz w:val="22"/>
          <w:szCs w:val="22"/>
        </w:rPr>
        <w:t xml:space="preserve">Inter-State migrant worker</w:t>
      </w:r>
      <w:r>
        <w:rPr>
          <w:sz w:val="22"/>
          <w:szCs w:val="22"/>
        </w:rPr>
        <w:t xml:space="preserve"> — similarly defined; specifically addressed in special provisions (Chapter XI).</w:t>
      </w:r>
    </w:p>
    <w:p>
      <w:pPr>
        <w:pStyle w:val="ListParagraph"/>
        <w:numPr>
          <w:ilvl w:val="0"/>
          <w:numId w:val="4"/>
        </w:numPr>
        <w:spacing w:after="80" w:line="276"/>
      </w:pPr>
      <w:r>
        <w:rPr>
          <w:b/>
          <w:bCs/>
          <w:sz w:val="22"/>
          <w:szCs w:val="22"/>
        </w:rPr>
        <w:t xml:space="preserve">Building worker</w:t>
      </w:r>
      <w:r>
        <w:rPr>
          <w:sz w:val="22"/>
          <w:szCs w:val="22"/>
        </w:rPr>
        <w:t xml:space="preserve"> — employed to do skilled, semi-skilled or unskilled manual, supervisory, technical or clerical work in building/construction.</w:t>
      </w:r>
    </w:p>
    <w:p>
      <w:pPr>
        <w:pStyle w:val="ListParagraph"/>
        <w:numPr>
          <w:ilvl w:val="0"/>
          <w:numId w:val="4"/>
        </w:numPr>
        <w:spacing w:after="80" w:line="276"/>
      </w:pPr>
      <w:r>
        <w:rPr>
          <w:b/>
          <w:bCs/>
          <w:sz w:val="22"/>
          <w:szCs w:val="22"/>
        </w:rPr>
        <w:t xml:space="preserve">Audio-visual worker</w:t>
      </w:r>
      <w:r>
        <w:rPr>
          <w:sz w:val="22"/>
          <w:szCs w:val="22"/>
        </w:rPr>
        <w:t xml:space="preserve"> — employed directly or through a contractor in audio-visual production/exhibition work.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A6D3B" w:sz="4"/>
              <w:left w:val="single" w:color="8A6D3B" w:sz="18"/>
              <w:bottom w:val="single" w:color="8A6D3B" w:sz="4"/>
              <w:right w:val="single" w:color="8A6D3B" w:sz="4"/>
            </w:tcBorders>
            <w:shd w:fill="FBF3E6" w:color="auto" w:val="clear"/>
            <w:tcMar>
              <w:top w:type="dxa" w:w="120"/>
              <w:left w:type="dxa" w:w="180"/>
              <w:bottom w:type="dxa" w:w="120"/>
              <w:right w:type="dxa" w:w="180"/>
            </w:tcMar>
          </w:tcPr>
          <w:p>
            <w:pPr>
              <w:spacing w:after="60"/>
            </w:pPr>
            <w:r>
              <w:rPr>
                <w:b/>
                <w:bCs/>
                <w:color w:val="8A6D3B"/>
                <w:sz w:val="20"/>
                <w:szCs w:val="20"/>
              </w:rPr>
              <w:t xml:space="preserve">💡 ILLUSTRATION</w:t>
            </w:r>
          </w:p>
          <w:p>
            <w:pPr>
              <w:spacing w:after="0" w:line="280"/>
            </w:pPr>
            <w:r>
              <w:rPr>
                <w:sz w:val="21"/>
                <w:szCs w:val="21"/>
              </w:rPr>
              <w:t xml:space="preserve">A food-delivery rider engaged through a mobile app: under the Code on Social Security, 2020, he squarely fits the definition of a "platform worker" under Section 2(61) and can access the welfare schemes framed under Chapter IX. However, under the OSH Code, 2020, since he is not "employed in an establishment" in the traditional sense and works largely outside any fixed workplace, he would typically fall outside the definition of "worker" under Section 2(zzl), and consequently outside the safety, health and working-condition obligations of Chapter III/V of that Code. This divergence is a good point to raise in an exam answer — the same person can be a protected "worker" for social security purposes but remain outside the OSH Code's safety net, exposing a regulatory gap that commentators have flagged.</w:t>
            </w:r>
          </w:p>
        </w:tc>
      </w:tr>
    </w:tbl>
    <w:p>
      <w:pPr>
        <w:spacing w:after="160"/>
      </w:pPr>
    </w:p>
    <w:p>
      <w:pPr>
        <w:pStyle w:val="Heading2"/>
        <w:spacing w:after="100" w:before="240"/>
      </w:pPr>
      <w:r>
        <w:rPr>
          <w:b/>
          <w:bCs/>
          <w:color w:val="8A6D3B"/>
          <w:sz w:val="24"/>
          <w:szCs w:val="24"/>
        </w:rPr>
        <w:t xml:space="preserve">Exam Tip</w:t>
      </w:r>
    </w:p>
    <w:p>
      <w:pPr>
        <w:spacing w:after="120" w:line="300"/>
      </w:pPr>
      <w:r>
        <w:rPr>
          <w:sz w:val="22"/>
          <w:szCs w:val="22"/>
        </w:rPr>
        <w:t xml:space="preserve">Frame this as a comparative point: the CSS defines worker categories mainly to determine eligibility for social security schemes (gig/platform/unorganised worker), while the OSH Code defines worker categories mainly to fix who owes or receives safety obligations (worker, contract labour, building worker).</w:t>
      </w:r>
    </w:p>
    <w:p>
      <w:pPr>
        <w:pStyle w:val="Heading1"/>
        <w:pBdr>
          <w:bottom w:val="single" w:color="1F3864" w:sz="8" w:space="4"/>
        </w:pBdr>
        <w:spacing w:after="160" w:before="360"/>
      </w:pPr>
      <w:r>
        <w:rPr>
          <w:b/>
          <w:bCs/>
          <w:color w:val="1F3864"/>
          <w:sz w:val="28"/>
          <w:szCs w:val="28"/>
        </w:rPr>
        <w:t xml:space="preserve">Q(e). Offences and Penalties under the OSH Code, 2020 (Chapter XII, Sections 94–106)</w:t>
      </w:r>
    </w:p>
    <w:p>
      <w:pPr>
        <w:pStyle w:val="Heading2"/>
        <w:spacing w:after="100" w:before="240"/>
      </w:pPr>
      <w:r>
        <w:rPr>
          <w:b/>
          <w:bCs/>
          <w:color w:val="8A6D3B"/>
          <w:sz w:val="24"/>
          <w:szCs w:val="24"/>
        </w:rPr>
        <w:t xml:space="preserve">Introduction</w:t>
      </w:r>
    </w:p>
    <w:p>
      <w:pPr>
        <w:spacing w:after="120" w:line="300"/>
      </w:pPr>
      <w:r>
        <w:rPr>
          <w:sz w:val="22"/>
          <w:szCs w:val="22"/>
        </w:rPr>
        <w:t xml:space="preserve">The penal architecture of the OSH Code, 2020 must be understood against the backdrop of India's worst industrial disaster, which exposed the inadequacy of the penalty regime under the erstwhile Factories Act, 1948 in deterring gross safety violations by hazardous industries.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F3864" w:sz="4"/>
              <w:left w:val="single" w:color="1F3864" w:sz="18"/>
              <w:bottom w:val="single" w:color="1F3864" w:sz="4"/>
              <w:right w:val="single" w:color="1F3864" w:sz="4"/>
            </w:tcBorders>
            <w:shd w:fill="EEF2F9" w:color="auto" w:val="clear"/>
            <w:tcMar>
              <w:top w:type="dxa" w:w="120"/>
              <w:left w:type="dxa" w:w="180"/>
              <w:bottom w:type="dxa" w:w="120"/>
              <w:right w:type="dxa" w:w="180"/>
            </w:tcMar>
          </w:tcPr>
          <w:p>
            <w:pPr>
              <w:spacing w:after="60"/>
            </w:pPr>
            <w:r>
              <w:rPr>
                <w:b/>
                <w:bCs/>
                <w:color w:val="1F3864"/>
                <w:sz w:val="20"/>
                <w:szCs w:val="20"/>
              </w:rPr>
              <w:t xml:space="preserve">⚖  CASE LAW</w:t>
            </w:r>
          </w:p>
          <w:p>
            <w:pPr>
              <w:spacing w:after="60" w:line="280"/>
            </w:pPr>
            <w:r>
              <w:rPr>
                <w:b/>
                <w:bCs/>
                <w:sz w:val="21"/>
                <w:szCs w:val="21"/>
              </w:rPr>
              <w:t xml:space="preserve">Union Carbide Corporation v. Union of India (Bhopal Gas Tragedy case)</w:t>
            </w:r>
            <w:r>
              <w:rPr>
                <w:sz w:val="21"/>
                <w:szCs w:val="21"/>
              </w:rPr>
              <w:t xml:space="preserve">, (1989) 1 SCC 674 / (1991) 4 SCC 584</w:t>
            </w:r>
          </w:p>
          <w:p>
            <w:pPr>
              <w:spacing w:after="0" w:line="280"/>
            </w:pPr>
            <w:r>
              <w:rPr>
                <w:sz w:val="21"/>
                <w:szCs w:val="21"/>
              </w:rPr>
              <w:t xml:space="preserve">Following the 1984 Bhopal gas leak, which killed and injured thousands, the Supreme Court was confronted with the grossly inadequate penal and compensatory framework then available. The case catalysed a doctrinal shift — including the "absolute liability" principle articulated shortly after in the Oleum Gas Leak case — and remains the touchstone illustration in Indian labour and environmental law of why penalties for safety violations in hazardous industries need to be severe, non-negotiable and swiftly enforceable. Sections 102 and 103 of the OSH Code, prescribing enhanced imprisonment and fines specifically for hazardous-process violations and accidents causing death or serious injury, are the legislative response to exactly this concern.</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4360"/>
        <w:gridCol w:w="3500"/>
      </w:tblGrid>
      <w:tr>
        <w:trPr>
          <w:tblHeader/>
        </w:trPr>
        <w:tc>
          <w:tcPr>
            <w:tcW w:type="dxa" w:w="1500"/>
            <w:shd w:fill="1F3864" w:color="auto" w:val="clear"/>
            <w:tcMar>
              <w:top w:type="dxa" w:w="80"/>
              <w:left w:type="dxa" w:w="100"/>
              <w:bottom w:type="dxa" w:w="80"/>
              <w:right w:type="dxa" w:w="100"/>
            </w:tcMar>
          </w:tcPr>
          <w:p>
            <w:r>
              <w:rPr>
                <w:b/>
                <w:bCs/>
                <w:sz w:val="19"/>
                <w:szCs w:val="19"/>
              </w:rPr>
              <w:t xml:space="preserve">Section</w:t>
            </w:r>
          </w:p>
        </w:tc>
        <w:tc>
          <w:tcPr>
            <w:tcW w:type="dxa" w:w="4360"/>
            <w:shd w:fill="1F3864" w:color="auto" w:val="clear"/>
            <w:tcMar>
              <w:top w:type="dxa" w:w="80"/>
              <w:left w:type="dxa" w:w="100"/>
              <w:bottom w:type="dxa" w:w="80"/>
              <w:right w:type="dxa" w:w="100"/>
            </w:tcMar>
          </w:tcPr>
          <w:p>
            <w:r>
              <w:rPr>
                <w:b/>
                <w:bCs/>
                <w:sz w:val="19"/>
                <w:szCs w:val="19"/>
              </w:rPr>
              <w:t xml:space="preserve">Offence</w:t>
            </w:r>
          </w:p>
        </w:tc>
        <w:tc>
          <w:tcPr>
            <w:tcW w:type="dxa" w:w="3500"/>
            <w:shd w:fill="1F3864" w:color="auto" w:val="clear"/>
            <w:tcMar>
              <w:top w:type="dxa" w:w="80"/>
              <w:left w:type="dxa" w:w="100"/>
              <w:bottom w:type="dxa" w:w="80"/>
              <w:right w:type="dxa" w:w="100"/>
            </w:tcMar>
          </w:tcPr>
          <w:p>
            <w:r>
              <w:rPr>
                <w:b/>
                <w:bCs/>
                <w:sz w:val="19"/>
                <w:szCs w:val="19"/>
              </w:rPr>
              <w:t xml:space="preserve">Penalty</w:t>
            </w:r>
          </w:p>
        </w:tc>
      </w:tr>
      <w:tr>
        <w:trPr>
          <w:tblHeader w:val="false"/>
        </w:trPr>
        <w:tc>
          <w:tcPr>
            <w:tcW w:type="dxa" w:w="1500"/>
            <w:tcMar>
              <w:top w:type="dxa" w:w="80"/>
              <w:left w:type="dxa" w:w="100"/>
              <w:bottom w:type="dxa" w:w="80"/>
              <w:right w:type="dxa" w:w="100"/>
            </w:tcMar>
          </w:tcPr>
          <w:p>
            <w:r>
              <w:rPr>
                <w:b w:val="false"/>
                <w:bCs w:val="false"/>
                <w:sz w:val="19"/>
                <w:szCs w:val="19"/>
              </w:rPr>
              <w:t xml:space="preserve">94</w:t>
            </w:r>
          </w:p>
        </w:tc>
        <w:tc>
          <w:tcPr>
            <w:tcW w:type="dxa" w:w="4360"/>
            <w:tcMar>
              <w:top w:type="dxa" w:w="80"/>
              <w:left w:type="dxa" w:w="100"/>
              <w:bottom w:type="dxa" w:w="80"/>
              <w:right w:type="dxa" w:w="100"/>
            </w:tcMar>
          </w:tcPr>
          <w:p>
            <w:r>
              <w:rPr>
                <w:b w:val="false"/>
                <w:bCs w:val="false"/>
                <w:sz w:val="19"/>
                <w:szCs w:val="19"/>
              </w:rPr>
              <w:t xml:space="preserve">General penalty for any contravention of the Code/rules/regulations not otherwise specified</w:t>
            </w:r>
          </w:p>
        </w:tc>
        <w:tc>
          <w:tcPr>
            <w:tcW w:type="dxa" w:w="3500"/>
            <w:tcMar>
              <w:top w:type="dxa" w:w="80"/>
              <w:left w:type="dxa" w:w="100"/>
              <w:bottom w:type="dxa" w:w="80"/>
              <w:right w:type="dxa" w:w="100"/>
            </w:tcMar>
          </w:tcPr>
          <w:p>
            <w:r>
              <w:rPr>
                <w:b w:val="false"/>
                <w:bCs w:val="false"/>
                <w:sz w:val="19"/>
                <w:szCs w:val="19"/>
              </w:rPr>
              <w:t xml:space="preserve">₹2 lakh – ₹3 lakh; further ₹2,000/day for continuing contravention</w:t>
            </w:r>
          </w:p>
        </w:tc>
      </w:tr>
      <w:tr>
        <w:trPr>
          <w:tblHeader w:val="false"/>
        </w:trPr>
        <w:tc>
          <w:tcPr>
            <w:tcW w:type="dxa" w:w="1500"/>
            <w:tcMar>
              <w:top w:type="dxa" w:w="80"/>
              <w:left w:type="dxa" w:w="100"/>
              <w:bottom w:type="dxa" w:w="80"/>
              <w:right w:type="dxa" w:w="100"/>
            </w:tcMar>
          </w:tcPr>
          <w:p>
            <w:r>
              <w:rPr>
                <w:b w:val="false"/>
                <w:bCs w:val="false"/>
                <w:sz w:val="19"/>
                <w:szCs w:val="19"/>
              </w:rPr>
              <w:t xml:space="preserve">95</w:t>
            </w:r>
          </w:p>
        </w:tc>
        <w:tc>
          <w:tcPr>
            <w:tcW w:type="dxa" w:w="4360"/>
            <w:tcMar>
              <w:top w:type="dxa" w:w="80"/>
              <w:left w:type="dxa" w:w="100"/>
              <w:bottom w:type="dxa" w:w="80"/>
              <w:right w:type="dxa" w:w="100"/>
            </w:tcMar>
          </w:tcPr>
          <w:p>
            <w:r>
              <w:rPr>
                <w:b w:val="false"/>
                <w:bCs w:val="false"/>
                <w:sz w:val="19"/>
                <w:szCs w:val="19"/>
              </w:rPr>
              <w:t xml:space="preserve">Obstructing an Inspector-cum-Facilitator, refusing entry, refusing to produce documents</w:t>
            </w:r>
          </w:p>
        </w:tc>
        <w:tc>
          <w:tcPr>
            <w:tcW w:type="dxa" w:w="3500"/>
            <w:tcMar>
              <w:top w:type="dxa" w:w="80"/>
              <w:left w:type="dxa" w:w="100"/>
              <w:bottom w:type="dxa" w:w="80"/>
              <w:right w:type="dxa" w:w="100"/>
            </w:tcMar>
          </w:tcPr>
          <w:p>
            <w:r>
              <w:rPr>
                <w:b w:val="false"/>
                <w:bCs w:val="false"/>
                <w:sz w:val="19"/>
                <w:szCs w:val="19"/>
              </w:rPr>
              <w:t xml:space="preserve">Imprisonment up to 3 months, or fine up to ₹1 lakh, or both; enhanced on repeat conviction</w:t>
            </w:r>
          </w:p>
        </w:tc>
      </w:tr>
      <w:tr>
        <w:trPr>
          <w:tblHeader w:val="false"/>
        </w:trPr>
        <w:tc>
          <w:tcPr>
            <w:tcW w:type="dxa" w:w="1500"/>
            <w:tcMar>
              <w:top w:type="dxa" w:w="80"/>
              <w:left w:type="dxa" w:w="100"/>
              <w:bottom w:type="dxa" w:w="80"/>
              <w:right w:type="dxa" w:w="100"/>
            </w:tcMar>
          </w:tcPr>
          <w:p>
            <w:r>
              <w:rPr>
                <w:b w:val="false"/>
                <w:bCs w:val="false"/>
                <w:sz w:val="19"/>
                <w:szCs w:val="19"/>
              </w:rPr>
              <w:t xml:space="preserve">96</w:t>
            </w:r>
          </w:p>
        </w:tc>
        <w:tc>
          <w:tcPr>
            <w:tcW w:type="dxa" w:w="4360"/>
            <w:tcMar>
              <w:top w:type="dxa" w:w="80"/>
              <w:left w:type="dxa" w:w="100"/>
              <w:bottom w:type="dxa" w:w="80"/>
              <w:right w:type="dxa" w:w="100"/>
            </w:tcMar>
          </w:tcPr>
          <w:p>
            <w:r>
              <w:rPr>
                <w:b w:val="false"/>
                <w:bCs w:val="false"/>
                <w:sz w:val="19"/>
                <w:szCs w:val="19"/>
              </w:rPr>
              <w:t xml:space="preserve">Non-maintenance of registers/records, non-filing of returns</w:t>
            </w:r>
          </w:p>
        </w:tc>
        <w:tc>
          <w:tcPr>
            <w:tcW w:type="dxa" w:w="3500"/>
            <w:tcMar>
              <w:top w:type="dxa" w:w="80"/>
              <w:left w:type="dxa" w:w="100"/>
              <w:bottom w:type="dxa" w:w="80"/>
              <w:right w:type="dxa" w:w="100"/>
            </w:tcMar>
          </w:tcPr>
          <w:p>
            <w:r>
              <w:rPr>
                <w:b w:val="false"/>
                <w:bCs w:val="false"/>
                <w:sz w:val="19"/>
                <w:szCs w:val="19"/>
              </w:rPr>
              <w:t xml:space="preserve">₹50,000 – ₹1 lakh</w:t>
            </w:r>
          </w:p>
        </w:tc>
      </w:tr>
      <w:tr>
        <w:trPr>
          <w:tblHeader w:val="false"/>
        </w:trPr>
        <w:tc>
          <w:tcPr>
            <w:tcW w:type="dxa" w:w="1500"/>
            <w:tcMar>
              <w:top w:type="dxa" w:w="80"/>
              <w:left w:type="dxa" w:w="100"/>
              <w:bottom w:type="dxa" w:w="80"/>
              <w:right w:type="dxa" w:w="100"/>
            </w:tcMar>
          </w:tcPr>
          <w:p>
            <w:r>
              <w:rPr>
                <w:b w:val="false"/>
                <w:bCs w:val="false"/>
                <w:sz w:val="19"/>
                <w:szCs w:val="19"/>
              </w:rPr>
              <w:t xml:space="preserve">97</w:t>
            </w:r>
          </w:p>
        </w:tc>
        <w:tc>
          <w:tcPr>
            <w:tcW w:type="dxa" w:w="4360"/>
            <w:tcMar>
              <w:top w:type="dxa" w:w="80"/>
              <w:left w:type="dxa" w:w="100"/>
              <w:bottom w:type="dxa" w:w="80"/>
              <w:right w:type="dxa" w:w="100"/>
            </w:tcMar>
          </w:tcPr>
          <w:p>
            <w:r>
              <w:rPr>
                <w:b w:val="false"/>
                <w:bCs w:val="false"/>
                <w:sz w:val="19"/>
                <w:szCs w:val="19"/>
              </w:rPr>
              <w:t xml:space="preserve">Contravening orders regulating employment of women, audio-visual workers, contract labour, or persons below 18 in mines</w:t>
            </w:r>
          </w:p>
        </w:tc>
        <w:tc>
          <w:tcPr>
            <w:tcW w:type="dxa" w:w="3500"/>
            <w:tcMar>
              <w:top w:type="dxa" w:w="80"/>
              <w:left w:type="dxa" w:w="100"/>
              <w:bottom w:type="dxa" w:w="80"/>
              <w:right w:type="dxa" w:w="100"/>
            </w:tcMar>
          </w:tcPr>
          <w:p>
            <w:r>
              <w:rPr>
                <w:b w:val="false"/>
                <w:bCs w:val="false"/>
                <w:sz w:val="19"/>
                <w:szCs w:val="19"/>
              </w:rPr>
              <w:t xml:space="preserve">₹50,000 – ₹1 lakh; imprisonment up to 3 months / fine up to ₹2 lakh on repeat</w:t>
            </w:r>
          </w:p>
        </w:tc>
      </w:tr>
      <w:tr>
        <w:trPr>
          <w:tblHeader w:val="false"/>
        </w:trPr>
        <w:tc>
          <w:tcPr>
            <w:tcW w:type="dxa" w:w="1500"/>
            <w:tcMar>
              <w:top w:type="dxa" w:w="80"/>
              <w:left w:type="dxa" w:w="100"/>
              <w:bottom w:type="dxa" w:w="80"/>
              <w:right w:type="dxa" w:w="100"/>
            </w:tcMar>
          </w:tcPr>
          <w:p>
            <w:r>
              <w:rPr>
                <w:b w:val="false"/>
                <w:bCs w:val="false"/>
                <w:sz w:val="19"/>
                <w:szCs w:val="19"/>
              </w:rPr>
              <w:t xml:space="preserve">98</w:t>
            </w:r>
          </w:p>
        </w:tc>
        <w:tc>
          <w:tcPr>
            <w:tcW w:type="dxa" w:w="4360"/>
            <w:tcMar>
              <w:top w:type="dxa" w:w="80"/>
              <w:left w:type="dxa" w:w="100"/>
              <w:bottom w:type="dxa" w:w="80"/>
              <w:right w:type="dxa" w:w="100"/>
            </w:tcMar>
          </w:tcPr>
          <w:p>
            <w:r>
              <w:rPr>
                <w:b w:val="false"/>
                <w:bCs w:val="false"/>
                <w:sz w:val="19"/>
                <w:szCs w:val="19"/>
              </w:rPr>
              <w:t xml:space="preserve">Falsification of records, false statements/plans/returns</w:t>
            </w:r>
          </w:p>
        </w:tc>
        <w:tc>
          <w:tcPr>
            <w:tcW w:type="dxa" w:w="3500"/>
            <w:tcMar>
              <w:top w:type="dxa" w:w="80"/>
              <w:left w:type="dxa" w:w="100"/>
              <w:bottom w:type="dxa" w:w="80"/>
              <w:right w:type="dxa" w:w="100"/>
            </w:tcMar>
          </w:tcPr>
          <w:p>
            <w:r>
              <w:rPr>
                <w:b w:val="false"/>
                <w:bCs w:val="false"/>
                <w:sz w:val="19"/>
                <w:szCs w:val="19"/>
              </w:rPr>
              <w:t xml:space="preserve">Imprisonment up to 3 months or fine up to ₹1 lakh, or both</w:t>
            </w:r>
          </w:p>
        </w:tc>
      </w:tr>
      <w:tr>
        <w:trPr>
          <w:tblHeader w:val="false"/>
        </w:trPr>
        <w:tc>
          <w:tcPr>
            <w:tcW w:type="dxa" w:w="1500"/>
            <w:tcMar>
              <w:top w:type="dxa" w:w="80"/>
              <w:left w:type="dxa" w:w="100"/>
              <w:bottom w:type="dxa" w:w="80"/>
              <w:right w:type="dxa" w:w="100"/>
            </w:tcMar>
          </w:tcPr>
          <w:p>
            <w:r>
              <w:rPr>
                <w:b w:val="false"/>
                <w:bCs w:val="false"/>
                <w:sz w:val="19"/>
                <w:szCs w:val="19"/>
              </w:rPr>
              <w:t xml:space="preserve">99</w:t>
            </w:r>
          </w:p>
        </w:tc>
        <w:tc>
          <w:tcPr>
            <w:tcW w:type="dxa" w:w="4360"/>
            <w:tcMar>
              <w:top w:type="dxa" w:w="80"/>
              <w:left w:type="dxa" w:w="100"/>
              <w:bottom w:type="dxa" w:w="80"/>
              <w:right w:type="dxa" w:w="100"/>
            </w:tcMar>
          </w:tcPr>
          <w:p>
            <w:r>
              <w:rPr>
                <w:b w:val="false"/>
                <w:bCs w:val="false"/>
                <w:sz w:val="19"/>
                <w:szCs w:val="19"/>
              </w:rPr>
              <w:t xml:space="preserve">Omission to furnish plans, returns, registers etc.</w:t>
            </w:r>
          </w:p>
        </w:tc>
        <w:tc>
          <w:tcPr>
            <w:tcW w:type="dxa" w:w="3500"/>
            <w:tcMar>
              <w:top w:type="dxa" w:w="80"/>
              <w:left w:type="dxa" w:w="100"/>
              <w:bottom w:type="dxa" w:w="80"/>
              <w:right w:type="dxa" w:w="100"/>
            </w:tcMar>
          </w:tcPr>
          <w:p>
            <w:r>
              <w:rPr>
                <w:b w:val="false"/>
                <w:bCs w:val="false"/>
                <w:sz w:val="19"/>
                <w:szCs w:val="19"/>
              </w:rPr>
              <w:t xml:space="preserve">₹1 lakh – ₹2 lakh</w:t>
            </w:r>
          </w:p>
        </w:tc>
      </w:tr>
      <w:tr>
        <w:trPr>
          <w:tblHeader w:val="false"/>
        </w:trPr>
        <w:tc>
          <w:tcPr>
            <w:tcW w:type="dxa" w:w="1500"/>
            <w:tcMar>
              <w:top w:type="dxa" w:w="80"/>
              <w:left w:type="dxa" w:w="100"/>
              <w:bottom w:type="dxa" w:w="80"/>
              <w:right w:type="dxa" w:w="100"/>
            </w:tcMar>
          </w:tcPr>
          <w:p>
            <w:r>
              <w:rPr>
                <w:b w:val="false"/>
                <w:bCs w:val="false"/>
                <w:sz w:val="19"/>
                <w:szCs w:val="19"/>
              </w:rPr>
              <w:t xml:space="preserve">100</w:t>
            </w:r>
          </w:p>
        </w:tc>
        <w:tc>
          <w:tcPr>
            <w:tcW w:type="dxa" w:w="4360"/>
            <w:tcMar>
              <w:top w:type="dxa" w:w="80"/>
              <w:left w:type="dxa" w:w="100"/>
              <w:bottom w:type="dxa" w:w="80"/>
              <w:right w:type="dxa" w:w="100"/>
            </w:tcMar>
          </w:tcPr>
          <w:p>
            <w:r>
              <w:rPr>
                <w:b w:val="false"/>
                <w:bCs w:val="false"/>
                <w:sz w:val="19"/>
                <w:szCs w:val="19"/>
              </w:rPr>
              <w:t xml:space="preserve">Wrongful disclosure of confidential information by an Inspector</w:t>
            </w:r>
          </w:p>
        </w:tc>
        <w:tc>
          <w:tcPr>
            <w:tcW w:type="dxa" w:w="3500"/>
            <w:tcMar>
              <w:top w:type="dxa" w:w="80"/>
              <w:left w:type="dxa" w:w="100"/>
              <w:bottom w:type="dxa" w:w="80"/>
              <w:right w:type="dxa" w:w="100"/>
            </w:tcMar>
          </w:tcPr>
          <w:p>
            <w:r>
              <w:rPr>
                <w:b w:val="false"/>
                <w:bCs w:val="false"/>
                <w:sz w:val="19"/>
                <w:szCs w:val="19"/>
              </w:rPr>
              <w:t xml:space="preserve">Imprisonment up to 3 months or fine up to ₹1 lakh, or both</w:t>
            </w:r>
          </w:p>
        </w:tc>
      </w:tr>
      <w:tr>
        <w:trPr>
          <w:tblHeader w:val="false"/>
        </w:trPr>
        <w:tc>
          <w:tcPr>
            <w:tcW w:type="dxa" w:w="1500"/>
            <w:tcMar>
              <w:top w:type="dxa" w:w="80"/>
              <w:left w:type="dxa" w:w="100"/>
              <w:bottom w:type="dxa" w:w="80"/>
              <w:right w:type="dxa" w:w="100"/>
            </w:tcMar>
          </w:tcPr>
          <w:p>
            <w:r>
              <w:rPr>
                <w:b w:val="false"/>
                <w:bCs w:val="false"/>
                <w:sz w:val="19"/>
                <w:szCs w:val="19"/>
              </w:rPr>
              <w:t xml:space="preserve">101</w:t>
            </w:r>
          </w:p>
        </w:tc>
        <w:tc>
          <w:tcPr>
            <w:tcW w:type="dxa" w:w="4360"/>
            <w:tcMar>
              <w:top w:type="dxa" w:w="80"/>
              <w:left w:type="dxa" w:w="100"/>
              <w:bottom w:type="dxa" w:w="80"/>
              <w:right w:type="dxa" w:w="100"/>
            </w:tcMar>
          </w:tcPr>
          <w:p>
            <w:r>
              <w:rPr>
                <w:b w:val="false"/>
                <w:bCs w:val="false"/>
                <w:sz w:val="19"/>
                <w:szCs w:val="19"/>
              </w:rPr>
              <w:t xml:space="preserve">Wrongful disclosure of results of analysis of a sample</w:t>
            </w:r>
          </w:p>
        </w:tc>
        <w:tc>
          <w:tcPr>
            <w:tcW w:type="dxa" w:w="3500"/>
            <w:tcMar>
              <w:top w:type="dxa" w:w="80"/>
              <w:left w:type="dxa" w:w="100"/>
              <w:bottom w:type="dxa" w:w="80"/>
              <w:right w:type="dxa" w:w="100"/>
            </w:tcMar>
          </w:tcPr>
          <w:p>
            <w:r>
              <w:rPr>
                <w:b w:val="false"/>
                <w:bCs w:val="false"/>
                <w:sz w:val="19"/>
                <w:szCs w:val="19"/>
              </w:rPr>
              <w:t xml:space="preserve">Imprisonment up to 6 months or fine up to ₹50,000, or both</w:t>
            </w:r>
          </w:p>
        </w:tc>
      </w:tr>
      <w:tr>
        <w:trPr>
          <w:tblHeader w:val="false"/>
        </w:trPr>
        <w:tc>
          <w:tcPr>
            <w:tcW w:type="dxa" w:w="1500"/>
            <w:tcMar>
              <w:top w:type="dxa" w:w="80"/>
              <w:left w:type="dxa" w:w="100"/>
              <w:bottom w:type="dxa" w:w="80"/>
              <w:right w:type="dxa" w:w="100"/>
            </w:tcMar>
          </w:tcPr>
          <w:p>
            <w:r>
              <w:rPr>
                <w:b w:val="false"/>
                <w:bCs w:val="false"/>
                <w:sz w:val="19"/>
                <w:szCs w:val="19"/>
              </w:rPr>
              <w:t xml:space="preserve">102</w:t>
            </w:r>
          </w:p>
        </w:tc>
        <w:tc>
          <w:tcPr>
            <w:tcW w:type="dxa" w:w="4360"/>
            <w:tcMar>
              <w:top w:type="dxa" w:w="80"/>
              <w:left w:type="dxa" w:w="100"/>
              <w:bottom w:type="dxa" w:w="80"/>
              <w:right w:type="dxa" w:w="100"/>
            </w:tcMar>
          </w:tcPr>
          <w:p>
            <w:r>
              <w:rPr>
                <w:b w:val="false"/>
                <w:bCs w:val="false"/>
                <w:sz w:val="19"/>
                <w:szCs w:val="19"/>
              </w:rPr>
              <w:t xml:space="preserve">Contravention of duties relating to hazardous processes (Secs. 6(1)(a)-(h), 13(d))</w:t>
            </w:r>
          </w:p>
        </w:tc>
        <w:tc>
          <w:tcPr>
            <w:tcW w:type="dxa" w:w="3500"/>
            <w:tcMar>
              <w:top w:type="dxa" w:w="80"/>
              <w:left w:type="dxa" w:w="100"/>
              <w:bottom w:type="dxa" w:w="80"/>
              <w:right w:type="dxa" w:w="100"/>
            </w:tcMar>
          </w:tcPr>
          <w:p>
            <w:r>
              <w:rPr>
                <w:b w:val="false"/>
                <w:bCs w:val="false"/>
                <w:sz w:val="19"/>
                <w:szCs w:val="19"/>
              </w:rPr>
              <w:t xml:space="preserve">Imprisonment up to 2 years + fine up to ₹5 lakh; additional ₹25,000/day if continued; up to 3 years / ₹20 lakh if continued beyond 1 year after conviction</w:t>
            </w:r>
          </w:p>
        </w:tc>
      </w:tr>
      <w:tr>
        <w:trPr>
          <w:tblHeader w:val="false"/>
        </w:trPr>
        <w:tc>
          <w:tcPr>
            <w:tcW w:type="dxa" w:w="1500"/>
            <w:tcMar>
              <w:top w:type="dxa" w:w="80"/>
              <w:left w:type="dxa" w:w="100"/>
              <w:bottom w:type="dxa" w:w="80"/>
              <w:right w:type="dxa" w:w="100"/>
            </w:tcMar>
          </w:tcPr>
          <w:p>
            <w:r>
              <w:rPr>
                <w:b w:val="false"/>
                <w:bCs w:val="false"/>
                <w:sz w:val="19"/>
                <w:szCs w:val="19"/>
              </w:rPr>
              <w:t xml:space="preserve">103</w:t>
            </w:r>
          </w:p>
        </w:tc>
        <w:tc>
          <w:tcPr>
            <w:tcW w:type="dxa" w:w="4360"/>
            <w:tcMar>
              <w:top w:type="dxa" w:w="80"/>
              <w:left w:type="dxa" w:w="100"/>
              <w:bottom w:type="dxa" w:w="80"/>
              <w:right w:type="dxa" w:w="100"/>
            </w:tcMar>
          </w:tcPr>
          <w:p>
            <w:r>
              <w:rPr>
                <w:b w:val="false"/>
                <w:bCs w:val="false"/>
                <w:sz w:val="19"/>
                <w:szCs w:val="19"/>
              </w:rPr>
              <w:t xml:space="preserve">Contravention resulting in an accident causing death or serious injury</w:t>
            </w:r>
          </w:p>
        </w:tc>
        <w:tc>
          <w:tcPr>
            <w:tcW w:type="dxa" w:w="3500"/>
            <w:tcMar>
              <w:top w:type="dxa" w:w="80"/>
              <w:left w:type="dxa" w:w="100"/>
              <w:bottom w:type="dxa" w:w="80"/>
              <w:right w:type="dxa" w:w="100"/>
            </w:tcMar>
          </w:tcPr>
          <w:p>
            <w:r>
              <w:rPr>
                <w:b w:val="false"/>
                <w:bCs w:val="false"/>
                <w:sz w:val="19"/>
                <w:szCs w:val="19"/>
              </w:rPr>
              <w:t xml:space="preserve">Death: imprisonment up to 2 years or fine ≥ ₹5 lakh, or both. Serious injury: imprisonment up to 1 year or fine ₹2–4 lakh, or both. Court may direct ≥ 50% of fine as compensation to victim/heirs</w:t>
            </w:r>
          </w:p>
        </w:tc>
      </w:tr>
      <w:tr>
        <w:trPr>
          <w:tblHeader w:val="false"/>
        </w:trPr>
        <w:tc>
          <w:tcPr>
            <w:tcW w:type="dxa" w:w="1500"/>
            <w:tcMar>
              <w:top w:type="dxa" w:w="80"/>
              <w:left w:type="dxa" w:w="100"/>
              <w:bottom w:type="dxa" w:w="80"/>
              <w:right w:type="dxa" w:w="100"/>
            </w:tcMar>
          </w:tcPr>
          <w:p>
            <w:r>
              <w:rPr>
                <w:b w:val="false"/>
                <w:bCs w:val="false"/>
                <w:sz w:val="19"/>
                <w:szCs w:val="19"/>
              </w:rPr>
              <w:t xml:space="preserve">104</w:t>
            </w:r>
          </w:p>
        </w:tc>
        <w:tc>
          <w:tcPr>
            <w:tcW w:type="dxa" w:w="4360"/>
            <w:tcMar>
              <w:top w:type="dxa" w:w="80"/>
              <w:left w:type="dxa" w:w="100"/>
              <w:bottom w:type="dxa" w:w="80"/>
              <w:right w:type="dxa" w:w="100"/>
            </w:tcMar>
          </w:tcPr>
          <w:p>
            <w:r>
              <w:rPr>
                <w:b w:val="false"/>
                <w:bCs w:val="false"/>
                <w:sz w:val="19"/>
                <w:szCs w:val="19"/>
              </w:rPr>
              <w:t xml:space="preserve">Continuing work despite a prohibitory order under Sec. 38</w:t>
            </w:r>
          </w:p>
        </w:tc>
        <w:tc>
          <w:tcPr>
            <w:tcW w:type="dxa" w:w="3500"/>
            <w:tcMar>
              <w:top w:type="dxa" w:w="80"/>
              <w:left w:type="dxa" w:w="100"/>
              <w:bottom w:type="dxa" w:w="80"/>
              <w:right w:type="dxa" w:w="100"/>
            </w:tcMar>
          </w:tcPr>
          <w:p>
            <w:r>
              <w:rPr>
                <w:b w:val="false"/>
                <w:bCs w:val="false"/>
                <w:sz w:val="19"/>
                <w:szCs w:val="19"/>
              </w:rPr>
              <w:t xml:space="preserve">Imprisonment up to 2 years and fine up to ₹5 lakh</w:t>
            </w:r>
          </w:p>
        </w:tc>
      </w:tr>
      <w:tr>
        <w:trPr>
          <w:tblHeader w:val="false"/>
        </w:trPr>
        <w:tc>
          <w:tcPr>
            <w:tcW w:type="dxa" w:w="1500"/>
            <w:tcMar>
              <w:top w:type="dxa" w:w="80"/>
              <w:left w:type="dxa" w:w="100"/>
              <w:bottom w:type="dxa" w:w="80"/>
              <w:right w:type="dxa" w:w="100"/>
            </w:tcMar>
          </w:tcPr>
          <w:p>
            <w:r>
              <w:rPr>
                <w:b w:val="false"/>
                <w:bCs w:val="false"/>
                <w:sz w:val="19"/>
                <w:szCs w:val="19"/>
              </w:rPr>
              <w:t xml:space="preserve">105</w:t>
            </w:r>
          </w:p>
        </w:tc>
        <w:tc>
          <w:tcPr>
            <w:tcW w:type="dxa" w:w="4360"/>
            <w:tcMar>
              <w:top w:type="dxa" w:w="80"/>
              <w:left w:type="dxa" w:w="100"/>
              <w:bottom w:type="dxa" w:w="80"/>
              <w:right w:type="dxa" w:w="100"/>
            </w:tcMar>
          </w:tcPr>
          <w:p>
            <w:r>
              <w:rPr>
                <w:b w:val="false"/>
                <w:bCs w:val="false"/>
                <w:sz w:val="19"/>
                <w:szCs w:val="19"/>
              </w:rPr>
              <w:t xml:space="preserve">Failure to appoint a manager in a mine (Sec. 67)</w:t>
            </w:r>
          </w:p>
        </w:tc>
        <w:tc>
          <w:tcPr>
            <w:tcW w:type="dxa" w:w="3500"/>
            <w:tcMar>
              <w:top w:type="dxa" w:w="80"/>
              <w:left w:type="dxa" w:w="100"/>
              <w:bottom w:type="dxa" w:w="80"/>
              <w:right w:type="dxa" w:w="100"/>
            </w:tcMar>
          </w:tcPr>
          <w:p>
            <w:r>
              <w:rPr>
                <w:b w:val="false"/>
                <w:bCs w:val="false"/>
                <w:sz w:val="19"/>
                <w:szCs w:val="19"/>
              </w:rPr>
              <w:t xml:space="preserve">Imprisonment up to 3 months or fine up to ₹1 lakh, or both</w:t>
            </w:r>
          </w:p>
        </w:tc>
      </w:tr>
      <w:tr>
        <w:trPr>
          <w:tblHeader w:val="false"/>
        </w:trPr>
        <w:tc>
          <w:tcPr>
            <w:tcW w:type="dxa" w:w="1500"/>
            <w:tcMar>
              <w:top w:type="dxa" w:w="80"/>
              <w:left w:type="dxa" w:w="100"/>
              <w:bottom w:type="dxa" w:w="80"/>
              <w:right w:type="dxa" w:w="100"/>
            </w:tcMar>
          </w:tcPr>
          <w:p>
            <w:r>
              <w:rPr>
                <w:b w:val="false"/>
                <w:bCs w:val="false"/>
                <w:sz w:val="19"/>
                <w:szCs w:val="19"/>
              </w:rPr>
              <w:t xml:space="preserve">106</w:t>
            </w:r>
          </w:p>
        </w:tc>
        <w:tc>
          <w:tcPr>
            <w:tcW w:type="dxa" w:w="4360"/>
            <w:tcMar>
              <w:top w:type="dxa" w:w="80"/>
              <w:left w:type="dxa" w:w="100"/>
              <w:bottom w:type="dxa" w:w="80"/>
              <w:right w:type="dxa" w:w="100"/>
            </w:tcMar>
          </w:tcPr>
          <w:p>
            <w:r>
              <w:rPr>
                <w:b w:val="false"/>
                <w:bCs w:val="false"/>
                <w:sz w:val="19"/>
                <w:szCs w:val="19"/>
              </w:rPr>
              <w:t xml:space="preserve">Offences by employees (contravening duties imposed on them)</w:t>
            </w:r>
          </w:p>
        </w:tc>
        <w:tc>
          <w:tcPr>
            <w:tcW w:type="dxa" w:w="3500"/>
            <w:tcMar>
              <w:top w:type="dxa" w:w="80"/>
              <w:left w:type="dxa" w:w="100"/>
              <w:bottom w:type="dxa" w:w="80"/>
              <w:right w:type="dxa" w:w="100"/>
            </w:tcMar>
          </w:tcPr>
          <w:p>
            <w:r>
              <w:rPr>
                <w:b w:val="false"/>
                <w:bCs w:val="false"/>
                <w:sz w:val="19"/>
                <w:szCs w:val="19"/>
              </w:rPr>
              <w:t xml:space="preserve">Penalty up to ₹10,000; employer not automatically liable unless failed to take reasonable preventive measures</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8A6D3B" w:sz="4"/>
              <w:left w:val="single" w:color="8A6D3B" w:sz="18"/>
              <w:bottom w:val="single" w:color="8A6D3B" w:sz="4"/>
              <w:right w:val="single" w:color="8A6D3B" w:sz="4"/>
            </w:tcBorders>
            <w:shd w:fill="FBF3E6" w:color="auto" w:val="clear"/>
            <w:tcMar>
              <w:top w:type="dxa" w:w="120"/>
              <w:left w:type="dxa" w:w="180"/>
              <w:bottom w:type="dxa" w:w="120"/>
              <w:right w:type="dxa" w:w="180"/>
            </w:tcMar>
          </w:tcPr>
          <w:p>
            <w:pPr>
              <w:spacing w:after="60"/>
            </w:pPr>
            <w:r>
              <w:rPr>
                <w:b/>
                <w:bCs/>
                <w:color w:val="8A6D3B"/>
                <w:sz w:val="20"/>
                <w:szCs w:val="20"/>
              </w:rPr>
              <w:t xml:space="preserve">💡 ILLUSTRATION</w:t>
            </w:r>
          </w:p>
          <w:p>
            <w:pPr>
              <w:spacing w:after="0" w:line="280"/>
            </w:pPr>
            <w:r>
              <w:rPr>
                <w:sz w:val="21"/>
                <w:szCs w:val="21"/>
              </w:rPr>
              <w:t xml:space="preserve">A factory manufacturing pesticides (a hazardous process) ignores the safety-officer requirement and fails to install prescribed protective equipment. A leak occurs, killing two workers. Here, the employer would face liability simultaneously under: (i) Section 102 for contravention of hazardous-process duties (up to 2 years' imprisonment + fine up to ₹5 lakh, with a daily additional fine for continuance); and (ii) Section 103(1)(a) for contravention resulting in death (imprisonment up to 2 years or fine not less than ₹5 lakh, or both), with the court empowered to direct at least 50% of the fine as compensation to the deceased workers' legal heirs. On a second conviction, Section 103(2) doubles the punishment.</w:t>
            </w:r>
          </w:p>
        </w:tc>
      </w:tr>
    </w:tbl>
    <w:p>
      <w:pPr>
        <w:spacing w:after="160"/>
      </w:pPr>
    </w:p>
    <w:p>
      <w:pPr>
        <w:pStyle w:val="Heading2"/>
        <w:spacing w:after="100" w:before="240"/>
      </w:pPr>
      <w:r>
        <w:rPr>
          <w:b/>
          <w:bCs/>
          <w:color w:val="8A6D3B"/>
          <w:sz w:val="24"/>
          <w:szCs w:val="24"/>
        </w:rPr>
        <w:t xml:space="preserve">Point to Emphasise</w:t>
      </w:r>
    </w:p>
    <w:p>
      <w:pPr>
        <w:spacing w:after="120" w:line="300"/>
      </w:pPr>
      <w:r>
        <w:rPr>
          <w:sz w:val="22"/>
          <w:szCs w:val="22"/>
        </w:rPr>
        <w:t xml:space="preserve">The scheme moves largely from imprisonment-based penalties (as under the old factory/mining laws) to monetary penalties, except for the most serious offences — hazardous process violations (Sec. 102) and accidents causing death/injury (Sec. 103) — which retain imprisonment. This reflects a policy shift towards decriminalisation of minor/technical lapses (in line with the government's broader "ease of doing business" and decriminalisation agenda) while preserving strong deterrence for life-threatening violations, informed by the lessons of the Bhopal tragedy and the constitutional jurisprudence on absolute liability discussed in Q(c).</w:t>
      </w:r>
    </w:p>
    <w:p>
      <w:pPr>
        <w:pStyle w:val="Heading2"/>
        <w:spacing w:after="100" w:before="240"/>
      </w:pPr>
      <w:r>
        <w:rPr>
          <w:b/>
          <w:bCs/>
          <w:color w:val="8A6D3B"/>
          <w:sz w:val="24"/>
          <w:szCs w:val="24"/>
        </w:rPr>
        <w:t xml:space="preserve">Concluding Note for the Test</w:t>
      </w:r>
    </w:p>
    <w:p>
      <w:pPr>
        <w:spacing w:after="120" w:line="300"/>
      </w:pPr>
      <w:r>
        <w:rPr>
          <w:sz w:val="22"/>
          <w:szCs w:val="22"/>
        </w:rPr>
        <w:t xml:space="preserve">When answering this question, briefly mention that most offences under the OSH Code are compoundable at the discretion of the appropriate Government (except repeat/serious offences), reflecting the legislative intent to encourage compliance over litigation — this is a good closing point that examiners often look for.</w:t>
      </w:r>
    </w:p>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lvl w:ilvl="1" w15:tentative="1">
      <w:start w:val="1"/>
      <w:numFmt w:val="bullet"/>
      <w:lvlText w:val="◦"/>
      <w:lvlJc w:val="left"/>
      <w:pPr>
        <w:ind w:left="820" w:hanging="260"/>
      </w:pPr>
    </w:lvl>
  </w:abstractNum>
  <w:abstractNum w:abstractNumId="3" w15:restartNumberingAfterBreak="0">
    <w:multiLevelType w:val="hybridMultilevel"/>
    <w:lvl w:ilvl="0" w15:tentative="1">
      <w:start w:val="1"/>
      <w:numFmt w:val="decimal"/>
      <w:lvlText w:val="%1."/>
      <w:lvlJc w:val="left"/>
      <w:pPr>
        <w:ind w:left="460" w:hanging="260"/>
      </w:pPr>
    </w:lvl>
  </w:abstractNum>
  <w:abstractNum w:abstractNumId="4" w15:restartNumberingAfterBreak="0">
    <w:multiLevelType w:val="hybridMultilevel"/>
    <w:lvl w:ilvl="0" w15:tentative="1">
      <w:start w:val="1"/>
      <w:numFmt w:val="decimal"/>
      <w:lvlText w:val="%1."/>
      <w:lvlJc w:val="left"/>
      <w:pPr>
        <w:ind w:left="460" w:hanging="260"/>
      </w:pPr>
    </w:lvl>
  </w:abstractNum>
  <w:abstractNum w:abstractNumId="5" w15:restartNumberingAfterBreak="0">
    <w:multiLevelType w:val="hybridMultilevel"/>
    <w:lvl w:ilvl="0" w15:tentative="1">
      <w:start w:val="1"/>
      <w:numFmt w:val="decimal"/>
      <w:lvlText w:val="%1."/>
      <w:lvlJc w:val="left"/>
      <w:pPr>
        <w:ind w:left="460" w:hanging="260"/>
      </w:pPr>
    </w:lvl>
  </w:abstractNum>
  <w:abstractNum w:abstractNumId="6" w15:restartNumberingAfterBreak="0">
    <w:multiLevelType w:val="hybridMultilevel"/>
    <w:lvl w:ilvl="0" w15:tentative="1">
      <w:start w:val="1"/>
      <w:numFmt w:val="decimal"/>
      <w:lvlText w:val="%1."/>
      <w:lvlJc w:val="left"/>
      <w:pPr>
        <w:ind w:left="460" w:hanging="26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2"/>
    <w:lvlOverride w:ilvl="0">
      <w:startOverride w:val="1"/>
    </w:lvlOverride>
  </w:num>
  <w:num w:numId="5">
    <w:abstractNumId w:val="5"/>
    <w:lvlOverride w:ilvl="0">
      <w:startOverride w:val="1"/>
    </w:lvlOverride>
  </w:num>
  <w:num w:numId="6">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2026-09-27T08:08:18.286Z</dcterms:created>
  <dcterms:modified xsi:type="dcterms:W3CDTF">2026-09-27T08:08:18.286Z</dcterms:modified>
</cp:coreProperties>
</file>

<file path=docProps/custom.xml><?xml version="1.0" encoding="utf-8"?>
<Properties xmlns="http://schemas.openxmlformats.org/officeDocument/2006/custom-properties" xmlns:vt="http://schemas.openxmlformats.org/officeDocument/2006/docPropsVTypes"/>
</file>